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BPflV 1994 — Vereinbarung auf Bundesebene</w:t>
      </w:r>
    </w:p>
    <w:p>
      <w:r>
        <w:rPr>
          <w:color w:val="555555"/>
          <w:sz w:val="18"/>
        </w:rPr>
        <w:t xml:space="preserve">Bundespflegesatzverordnung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(1) Der Spitzenverband Bund der Krankenkassen und der Verband der privaten Krankenversicherung gemeinsam vereinbaren mit der Deutschen Krankenhausgesellschaft (Vertragsparteien auf Bundesebene) mit Wirkung für die Vertragsparteien nach § 11 insbesondere</w:t>
      </w:r>
    </w:p>
    <w:p>
      <w:pPr>
        <w:ind w:left="420"/>
      </w:pPr>
      <w:r>
        <w:t xml:space="preserve">1. einen Katalog nach § 17d Absatz 1 des Krankenhausfinanzierungsgesetzes mit insbesondere tagesbezogenen Entgelten einschließlich der Bewertungsrelationen sowie in geeigneten Fällen Regelungen zu Zu- oder Abschlägen, die nach Über- oder Unterschreitung erkrankungstypischer Behandlungszeiten vorzunehmen sind,</w:t>
      </w:r>
    </w:p>
    <w:p>
      <w:pPr>
        <w:ind w:left="420"/>
      </w:pPr>
      <w:r>
        <w:t xml:space="preserve">2. einen Katalog ergänzender Zusatzentgelte nach § 17d Absatz 2 Satz 2 des Krankenhausfinanzierungsgesetzes einschließlich der Vergütungshöhe,</w:t>
      </w:r>
    </w:p>
    <w:p>
      <w:pPr>
        <w:ind w:left="420"/>
      </w:pPr>
      <w:r>
        <w:t xml:space="preserve">3. die Abrechnungsbestimmungen für die Entgelte nach den Nummern 1 und 2 sowie die Regelungen zu Zu- und Abschlägen; § 9 Absatz 1a Nummer 1, 2 und 5 des Krankenhausentgeltgesetzes gilt entsprechend,</w:t>
      </w:r>
    </w:p>
    <w:p>
      <w:pPr>
        <w:ind w:left="420"/>
      </w:pPr>
      <w:r>
        <w:t xml:space="preserve">4. Empfehlungen für die Kalkulation und die krankenhausindividuelle Vergütung von Leistungen, von regionalen oder strukturellen Besonderheiten in der Leistungserbringung und von neuen Untersuchungs- und Behandlungsmethoden, für die nach § 6 gesonderte Entgelte vereinbart werden können,</w:t>
      </w:r>
    </w:p>
    <w:p>
      <w:pPr>
        <w:ind w:left="420"/>
      </w:pPr>
      <w:r>
        <w:t xml:space="preserve">5. (weggefallen)</w:t>
      </w:r>
    </w:p>
    <w:p>
      <w:pPr>
        <w:ind w:left="420"/>
      </w:pPr>
      <w:r>
        <w:t xml:space="preserve">6. den einheitlichen Aufbau der Datensätze und das Verfahren für die Übermittlung der Daten nach § 11 Absatz 4 Satz 1 und erstmals bis zum 26. Januar 2023 das Nähere zur Dokumentation des Eingangs von Daten, Unterlagen und Auskünften und zur Abrechnung des Abschlags nach § 11 Absatz 4 Satz 5 sowie die Weiterentwicklung der von den Vertragsparteien auf Bundesebene vereinbarten Aufstellung der Entgelte und Budgetermittlung, wobei den Zwecken des leistungsbezogenen Vergleichs nach § 4 Rechnung zu tragen ist,</w:t>
      </w:r>
    </w:p>
    <w:p>
      <w:pPr>
        <w:ind w:left="420"/>
      </w:pPr>
      <w:r>
        <w:t xml:space="preserve">7. erstmals zum 31. März 2017 und ab 2018 bis zum 28. Februar jeden Jahres die Beschreibung von Leistungen, die für den Zweck des Vergütungssystems nach § 17d des Krankenhausfinanzierungsgesetzes in den Prozedurenschlüssel nach § 301 Absatz 2 des Fünften Buches Sozialgesetzbuch einzuführen sind, sowie die Benennung von Schlüsseln, die zu streichen sind, da sie sich für diesen Zweck als nicht erforderlich erwiesen haben; das Bundesinstitut für Arzneimittel und Medizinprodukte soll erforderliche Änderungen im Prozedurenschlüssel nach § 301 Absatz 2 des Fünften Buches Sozialgesetzbuch zum nächstmöglichen Zeitpunkt umsetzen,</w:t>
      </w:r>
    </w:p>
    <w:p>
      <w:pPr>
        <w:ind w:left="420"/>
      </w:pPr>
      <w:r>
        <w:t xml:space="preserve">8. bis zum 31. März 2017 die Ausgestaltung des Nachweises nach § 18 Absatz 2 Satz 2 und 3, insbesondere den einheitlichen Aufbau der Datensätze sowie das Verfahren für die Übermittlung der Daten,</w:t>
      </w:r>
    </w:p>
    <w:p>
      <w:pPr>
        <w:ind w:left="420"/>
      </w:pPr>
      <w:r>
        <w:t xml:space="preserve">9. bis zum 1. Januar 2019 auf der Grundlage eines Konzepts des Instituts für das Entgeltsystem im Krankenhaus die näheren Einzelheiten des leistungsbezogenen Vergleichs nach § 4, insbesondere zu dessen Ausgestaltung, Organisation, Durchführung, Finanzierung und Anwendung; in die Vereinbarung ist eine Regelung zum Verfahren für die Übermittlung der Daten nach § 4 Absatz 1 Satz 2 an das Institut für das Entgeltsystem im Krankenhaus zum Zweck der Ermittlung der Ergebnisse des leistungsbezogenen Vergleichs und zum Verfahren für die Übermittlung der Ergebnisse des leistungsbezogenen Vergleichs nach § 4 Absatz 1 Satz 3 an die Vertragsparteien nach § 11 und die Beteiligten nach § 18 Absatz 1 Satz 2 des Krankenhausfinanzierungsgesetzes aufzunehmen.</w:t>
      </w:r>
    </w:p>
    <w:p>
      <w:r>
        <w:t xml:space="preserve">(2) Kommt eine Vereinbarung zu Absatz 1 Nummer 1 und 2 sowie die Abrechnungsbestimmungen nach Nummer 3 ganz oder teilweise nicht zustande, gilt § 17d Absatz 6 des Krankenhausfinanzierungsgesetzes. In den übrigen Fällen entscheidet auf Antrag einer Vertragspartei die Schiedsstelle nach § 18a Absatz 6 des Krankenhausfinanzierungsgesetzes.</w:t>
      </w:r>
    </w:p>
    <w:p>
      <w:r>
        <w:rPr>
          <w:color w:val="555555"/>
          <w:sz w:val="17"/>
        </w:rPr>
        <w:t xml:space="preserve">Zitiervorschlag: § 9 BPflV 1994</w:t>
      </w:r>
    </w:p>
    <w:p>
      <w:r>
        <w:rPr>
          <w:color w:val="555555"/>
          <w:sz w:val="17"/>
        </w:rPr>
        <w:t xml:space="preserve">Quelle: Bundesamt für Justiz, abgerufen 30.07.2026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https://recht.nulegal.eu/gesetze/BPflV%201994/9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