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BPflV 1994 — Anwendungsbereich</w:t>
      </w:r>
    </w:p>
    <w:p>
      <w:r>
        <w:rPr>
          <w:color w:val="555555"/>
          <w:sz w:val="18"/>
        </w:rPr>
        <w:t xml:space="preserve">Bundespflegesatzverordnung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dieser Verordnung werden die vollstationären, stationsäquivalenten und teilstationären Leistungen der Krankenhäuser und selbständigen, gebietsärztlich geleiteten Abteilungen für die Fachgebiete Psychiatrie und Psychotherapie, Kinder- und Jugendpsychiatrie und -psychotherapie sowie Psychosomatische Medizin und Psychotherapie vergütet, die nicht in das DRG-Vergütungssystem einbezogen sind. Krankenhaus im Sinne dieser Verordnung ist auch die Gesamtheit der selbstständigen, gebietsärztlich geleiteten Abteilungen für die Fachgebiete Psychiatrie und Psychotherapie, Kinder- und Jugendpsychiatrie und -psychotherapie (psychiatrische Einrichtungen) und für die Psychosomatische Medizin und Psychotherapie (psychosomatische Einrichtungen) an einem somatischen Krankenhaus.</w:t>
      </w:r>
    </w:p>
    <w:p>
      <w:r>
        <w:t xml:space="preserve">(2) Diese Verordnung gilt nicht für</w:t>
      </w:r>
    </w:p>
    <w:p>
      <w:pPr>
        <w:ind w:left="420"/>
      </w:pPr>
      <w:r>
        <w:t xml:space="preserve">1. die Krankenhäuser, auf die das Krankenhausfinanzierungsgesetz nach seinem § 3 Satz 1 Nr. 1 bis 4 keine Anwendung findet,</w:t>
      </w:r>
    </w:p>
    <w:p>
      <w:pPr>
        <w:ind w:left="420"/>
      </w:pPr>
      <w:r>
        <w:t xml:space="preserve">2. die Krankenhäuser, die nach § 5 Abs. 1 Nr. 2, 4 oder 7 des Krankenhausfinanzierungsgesetzes nicht gefördert werden.</w:t>
      </w:r>
    </w:p>
    <w:p>
      <w:r>
        <w:t xml:space="preserve">(3) Die vor- und nachstationäre Behandlung wird für alle Benutzer einheitlich nach § 115a des Fünften Buches Sozialgesetzbuch vergütet.</w:t>
      </w:r>
    </w:p>
    <w:p>
      <w:r>
        <w:rPr>
          <w:color w:val="555555"/>
          <w:sz w:val="17"/>
        </w:rPr>
        <w:t xml:space="preserve">Zitiervorschlag: § 1 BPflV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https://recht.nulegal.eu/gesetze/BPflV%201994/1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