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BPersVWO — Sitzungsniederschriften</w:t>
      </w:r>
    </w:p>
    <w:p>
      <w:r>
        <w:rPr>
          <w:color w:val="555555"/>
          <w:sz w:val="18"/>
        </w:rPr>
        <w:t xml:space="preserve">Wahlordnung zum Bundespersonalvertretungsgesetz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Bezirkswahlvorstand fertigt über jede Sitzung, in der er einen Beschluß gefaßt hat, eine Niederschrift. Die Niederschrift ist von sämtlichen Mitgliedern des Bezirkswahlvorstandes zu unterzeichnen.</w:t>
      </w:r>
    </w:p>
    <w:p>
      <w:r>
        <w:t xml:space="preserve">(2) Die Niederschrift über die Sitzungen, in denen über Einsprüche gegen das Wählerverzeichnis entschieden ist, fertigt der örtliche Wahlvorstand.</w:t>
      </w:r>
    </w:p>
    <w:p>
      <w:r>
        <w:rPr>
          <w:color w:val="555555"/>
          <w:sz w:val="17"/>
        </w:rPr>
        <w:t xml:space="preserve">Zitiervorschlag: § 39 BPersVWO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https://recht.nulegal.eu/gesetze/BPersVWO/39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