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BPersVWO — Gleichzeitige Wahl</w:t>
      </w:r>
    </w:p>
    <w:p>
      <w:r>
        <w:rPr>
          <w:color w:val="555555"/>
          <w:sz w:val="18"/>
        </w:rPr>
        <w:t xml:space="preserve">Wahlordnung zum Bundespersonalvertretungsgesetz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 des Bezirkspersonalrates soll möglichst gleichzeitig mit der Wahl der Personalräte in demselben Bezirk stattfinden.</w:t>
      </w:r>
    </w:p>
    <w:p>
      <w:r>
        <w:rPr>
          <w:color w:val="555555"/>
          <w:sz w:val="17"/>
        </w:rPr>
        <w:t xml:space="preserve">Zitiervorschlag: § 36 BPersVWO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https://recht.nulegal.eu/gesetze/BPersVWO/36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