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BPersVWO — Feststellung der Beschäftigtenzahl, Wählerverzeichnis</w:t>
      </w:r>
    </w:p>
    <w:p>
      <w:r>
        <w:rPr>
          <w:color w:val="555555"/>
          <w:sz w:val="18"/>
        </w:rPr>
        <w:t xml:space="preserve">Wahlordnung zum Bundespersonalvertretungsgesetz</w:t>
      </w:r>
    </w:p>
    <w:p>
      <w:r>
        <w:rPr>
          <w:color w:val="555555"/>
          <w:sz w:val="18"/>
        </w:rPr>
        <w:t xml:space="preserve">Stand: 17.06.2021 (konsolidierte Textfassung, kein amtliches Inkrafttretensdatum)</w:t>
      </w:r>
    </w:p>
    <w:p>
      <w:r>
        <w:t xml:space="preserve">(1) Der Wahlvorstand stellt die Zahl der in der Regel Beschäftigten und ihre Verteilung auf die Gruppen fest. Übersteigt diese Zahl 50 nicht, stellt der Wahlvorstand außerdem die Zahl der nach § 14 des Gesetzes Wahlberechtigten fest.</w:t>
      </w:r>
    </w:p>
    <w:p>
      <w:r>
        <w:t xml:space="preserve">(2) Der Wahlvorstand stellt ein nach Gruppen getrenntes Verzeichnis der wahlberechtigten Beschäftigten (Wählerverzeichnis) auf. Innerhalb der Gruppen sind die Anteile der Geschlechter festzustellen.</w:t>
      </w:r>
    </w:p>
    <w:p>
      <w:r>
        <w:t xml:space="preserve">(3) Das Wählerverzeichnis oder eine Abschrift ist unverzüglich nach Einleitung der Wahl bis zum Abschluß der Stimmabgabe an geeigneter Stelle zur Einsicht auszulegen.</w:t>
      </w:r>
    </w:p>
    <w:p>
      <w:r>
        <w:rPr>
          <w:color w:val="555555"/>
          <w:sz w:val="17"/>
        </w:rPr>
        <w:t xml:space="preserve">Zitiervorschlag: § 2 BPersVWO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https://recht.nulegal.eu/gesetze/BPersVWO/2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