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BPersVWO — Behandlung der schriftlich abgegebenen Stimmen</w:t>
      </w:r>
    </w:p>
    <w:p>
      <w:r>
        <w:rPr>
          <w:color w:val="555555"/>
          <w:sz w:val="18"/>
        </w:rPr>
        <w:t xml:space="preserve">Wahlordnung zum Bundespersonalvertretungsgesetz</w:t>
      </w:r>
    </w:p>
    <w:p>
      <w:r>
        <w:rPr>
          <w:color w:val="555555"/>
          <w:sz w:val="18"/>
        </w:rPr>
        <w:t xml:space="preserve">Stand: 10.06.2019 (konsolidierte Textfassung, kein amtliches Inkrafttretensdatum)</w:t>
      </w:r>
    </w:p>
    <w:p>
      <w:r>
        <w:t xml:space="preserve">(1) Unmittelbar vor Abschluß der Stimmabgabe öffnet der Wahlvorstand in öffentlicher Sitzung die bis zu diesem Zeitpunkt eingegangenen Freiumschläge und entnimmt ihnen die Wahlumschläge und die vorgedruckten Erklärungen (§ 17 Abs. 1 Satz 1 Nr. 3). Ist die schriftliche Stimmabgabe ordnungsgemäß erfolgt (§ 17 Abs. 2), so legt der Wahlvorstand den Wahlumschlag nach Vermerk der Stimmabgabe im Wählerverzeichnis ungeöffnet in die Wahlurne.</w:t>
      </w:r>
    </w:p>
    <w:p>
      <w:r>
        <w:t xml:space="preserve">(2) Verspätet eingehende Briefumschläge hat der Wahlvorstand mit einem Vermerk über den Zeitpunkt des Eingangs ungeöffnet zu den Wahlunterlagen zu nehmen. Die Briefumschläge sind einen Monat nach Bekanntgabe des Wahlergebnisses ungeöffnet zu vernichten, wenn die Wahl nicht angefochten worden ist.</w:t>
      </w:r>
    </w:p>
    <w:p>
      <w:r>
        <w:rPr>
          <w:color w:val="555555"/>
          <w:sz w:val="17"/>
        </w:rPr>
        <w:t xml:space="preserve">Zitiervorschlag: § 18 BPersVWO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https://recht.nulegal.eu/gesetze/BPersVWO/18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