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BPersVG 2021 — Stellungnahmerecht bei ressortübergreifenden Digitalisierungsmaßnahmen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Vor Entscheidungen oberster Bundesbehörden oder Vorlagen an die Bundesregierung in Angelegenheiten des § 80 Absatz 1 Nummer 21, die die Geschäftsbereiche mehrerer oberster Bundesbehörden betreffen, ist der Arbeitsgemeinschaft der Hauptpersonalräte Gelegenheit zur Stellungnahme zu geben. Das Stellungnahmerecht erstreckt sich auch auf Maßnahmen, die</w:t>
      </w:r>
    </w:p>
    <w:p>
      <w:pPr>
        <w:ind w:left="420"/>
      </w:pPr>
      <w:r>
        <w:t xml:space="preserve">1. mit den in Satz 1 genannten Angelegenheiten unmittelbar zusammenhängen,</w:t>
      </w:r>
    </w:p>
    <w:p>
      <w:pPr>
        <w:ind w:left="420"/>
      </w:pPr>
      <w:r>
        <w:t xml:space="preserve">2. ebenfalls die Geschäftsbereiche mehrerer oberster Bundesbehörden betreffen und</w:t>
      </w:r>
    </w:p>
    <w:p>
      <w:pPr>
        <w:ind w:left="420"/>
      </w:pPr>
      <w:r>
        <w:t xml:space="preserve">3. der Beteiligung nach Kapitel 4 unterlägen, wenn sie von einer Dienststelle nur für ihre Beschäftigten getroffen würden, mit Ausnahme personeller Einzelmaßnahmen.</w:t>
      </w:r>
    </w:p>
    <w:p>
      <w:r>
        <w:t xml:space="preserve">(2) Die federführend zuständige oberste Bundesbehörde unterrichtet die Arbeitsgemeinschaft der Hauptpersonalräte rechtzeitig und umfassend von der beabsichtigten Entscheidung und legt ihr die hierfür erforderlichen Unterlagen vor. Die Arbeitsgemeinschaft der Hauptpersonalräte teilt der obersten Bundesbehörde ihre Stellungnahme innerhalb einer Frist von vier Wochen mit, soweit nicht einvernehmlich eine andere Frist vereinbart ist. In dringenden Fällen kann die Dienststelle die Frist auf eine Woche verkürzen oder, sofern die Entscheidung der Natur der Sache nach keinen Aufschub duldet, die Stellungnahme nachträglich einholen. Auf Verlangen der Arbeitsgemeinschaft der Hauptpersonalräte ist die beabsichtigte Maßnahme mit ihr vor Abgabe der Stellungnahme zu erörtern.</w:t>
      </w:r>
    </w:p>
    <w:p>
      <w:r>
        <w:t xml:space="preserve">(3) Die Befugnisse und Pflichten der Personalvertretungen nach diesem Gesetz bleiben unberührt. Die Arbeitsgemeinschaft der Hauptpersonalräte informiert die Hauptpersonalräte regelmäßig über ihre Tätigkeit.</w:t>
      </w:r>
    </w:p>
    <w:p>
      <w:r>
        <w:rPr>
          <w:color w:val="555555"/>
          <w:sz w:val="17"/>
        </w:rPr>
        <w:t xml:space="preserve">Zitiervorschlag: § 98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