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BPersVG 2021 — Amtszeit und Geschäftsführung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Für die Stufenvertretungen gilt Kapitel 2 Abschnitt 2 und 3 mit Ausnahme des § 45 entsprechend. § 36 Absatz 1 gilt mit der Maßgabe, dass die Mitglieder der Stufenvertretung spätestens zehn Arbeitstage nach dem Wahltag einzuberufen sind.</w:t>
      </w:r>
    </w:p>
    <w:p>
      <w:r>
        <w:rPr>
          <w:color w:val="555555"/>
          <w:sz w:val="17"/>
        </w:rPr>
        <w:t xml:space="preserve">Zitiervorschlag: § 90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