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BPersVG 2021 — Weitere Angelegenheiten der Anhörung</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Vor der Weiterleitung von Personalanforderungen zum Haushaltsvoranschlag ist der Personalrat anzuhören. Gibt der Personalrat einer nachgeordneten Dienststelle zu den Personalanforderungen eine Stellungnahme ab, so ist diese mit den Personalanforderungen der übergeordneten Dienststelle vorzulegen. Das gilt entsprechend für die Personalplanung.</w:t>
      </w:r>
    </w:p>
    <w:p>
      <w:r>
        <w:t xml:space="preserve">(2) Absatz 1 gilt entsprechend für Neu-, Um- und Erweiterungsbauten von Diensträumen.</w:t>
      </w:r>
    </w:p>
    <w:p>
      <w:r>
        <w:t xml:space="preserve">(3) Vor grundlegenden Änderungen von Arbeitsverfahren und Arbeitsabläufen ist der Personalrat anzuhören.</w:t>
      </w:r>
    </w:p>
    <w:p>
      <w:r>
        <w:rPr>
          <w:color w:val="555555"/>
          <w:sz w:val="17"/>
        </w:rPr>
        <w:t xml:space="preserve">Zitiervorschlag: § 87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