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BPersVG 2021 — Ordentliche Kündigung</w:t>
      </w:r>
    </w:p>
    <w:p>
      <w:r>
        <w:rPr>
          <w:color w:val="555555"/>
          <w:sz w:val="18"/>
        </w:rPr>
        <w:t xml:space="preserve">Bundespersonalvertretungsgesetz</w:t>
      </w:r>
    </w:p>
    <w:p>
      <w:r>
        <w:rPr>
          <w:color w:val="555555"/>
          <w:sz w:val="18"/>
        </w:rPr>
        <w:t xml:space="preserve">Stand: 01.04.2024 (konsolidierte Textfassung, kein amtliches Inkrafttretensdatum)</w:t>
      </w:r>
    </w:p>
    <w:p>
      <w:r>
        <w:t xml:space="preserve">(1) Der Personalrat wirkt bei der ordentlichen Kündigung durch den Arbeitgeber mit. § 78 Absatz 4 gilt entsprechend. Der Personalrat kann gegen die Kündigung Einwendungen erheben, wenn nach seiner Ansicht</w:t>
      </w:r>
    </w:p>
    <w:p>
      <w:pPr>
        <w:ind w:left="420"/>
      </w:pPr>
      <w:r>
        <w:t xml:space="preserve">1. bei der Auswahl der zu kündigenden Arbeitnehmerin oder des zu kündigenden Arbeitnehmers soziale Gesichtspunkte nicht oder nicht ausreichend berücksichtigt worden sind,</w:t>
      </w:r>
    </w:p>
    <w:p>
      <w:pPr>
        <w:ind w:left="420"/>
      </w:pPr>
      <w:r>
        <w:t xml:space="preserve">2. die Kündigung gegen eine Richtlinie nach § 80 Absatz 1 Nummer 12 verstößt,</w:t>
      </w:r>
    </w:p>
    <w:p>
      <w:pPr>
        <w:ind w:left="420"/>
      </w:pPr>
      <w:r>
        <w:t xml:space="preserve">3. die zu kündigende Arbeitnehmerin oder der zu kündigende Arbeitnehmer an einem anderen Arbeitsplatz in derselben Dienststelle oder in einer anderen Dienststelle desselben Verwaltungszweiges an demselben Dienstort einschließlich seines Einzugsgebietes weiterbeschäftigt werden kann,</w:t>
      </w:r>
    </w:p>
    <w:p>
      <w:pPr>
        <w:ind w:left="420"/>
      </w:pPr>
      <w:r>
        <w:t xml:space="preserve">4. die Weiterbeschäftigung der Arbeitnehmerin oder des Arbeitnehmers nach zumutbaren Umschulungs- oder Fortbildungsmaßnahmen möglich ist oder</w:t>
      </w:r>
    </w:p>
    <w:p>
      <w:pPr>
        <w:ind w:left="420"/>
      </w:pPr>
      <w:r>
        <w:t xml:space="preserve">5. die Weiterbeschäftigung der Arbeitnehmerin oder des Arbeitnehmers unter geänderten Vertragsbedingungen möglich ist und die Arbeitnehmerin oder der Arbeitnehmer sich damit einverstanden erklärt.</w:t>
      </w:r>
    </w:p>
    <w:p>
      <w:r>
        <w:t xml:space="preserve">Wird der Arbeitnehmerin oder dem Arbeitnehmer gekündigt, obwohl der Personalrat Einwendungen gegen die Kündigung erhoben hat, so ist dem Arbeitnehmer mit der Kündigung eine Kopie der Stellungnahme des Personalrats zuzuleiten, es sei denn, dass die Stufenvertretung in der Verhandlung nach § 82 Absatz 1 Satz 2 die Einwendungen nicht aufrechterhalten hat.</w:t>
      </w:r>
    </w:p>
    <w:p>
      <w:r>
        <w:t xml:space="preserve">(2) Hat die Arbeitnehmerin oder der Arbeitnehmer im Fall des Absatzes 1 Satz 4 nach dem Kündigungsschutzgesetz Klage auf Feststellung erhoben, dass das Arbeitsverhältnis durch die Kündigung nicht aufgelöst ist, so muss der Arbeitgeber auf Verlangen der Arbeitnehmerin oder des Arbeitnehmers diese oder diesen nach Ablauf der Kündigungsfrist bis zum rechtskräftigen Abschluss des Rechtsstreits bei unveränderten Arbeitsbedingungen weiterbeschäftigen. Auf Antrag des Arbeitgebers kann das Arbeitsgericht ihn durch einstweilige Verfügung von der Verpflichtung zur Weiterbeschäftigung nach Satz 1 entbinden, wenn</w:t>
      </w:r>
    </w:p>
    <w:p>
      <w:pPr>
        <w:ind w:left="420"/>
      </w:pPr>
      <w:r>
        <w:t xml:space="preserve">1. die Klage keine hinreichende Aussicht auf Erfolg bietet oder mutwillig erscheint,</w:t>
      </w:r>
    </w:p>
    <w:p>
      <w:pPr>
        <w:ind w:left="420"/>
      </w:pPr>
      <w:r>
        <w:t xml:space="preserve">2. die Weiterbeschäftigung zu einer unzumutbaren wirtschaftlichen Belastung des Arbeitgebers führen würde oder</w:t>
      </w:r>
    </w:p>
    <w:p>
      <w:pPr>
        <w:ind w:left="420"/>
      </w:pPr>
      <w:r>
        <w:t xml:space="preserve">3. der Widerspruch des Personalrats offensichtlich unbegründet war.</w:t>
      </w:r>
    </w:p>
    <w:p>
      <w:r>
        <w:t xml:space="preserve">(3) Eine Kündigung ist unwirksam, wenn der Personalrat nicht beteiligt worden ist.</w:t>
      </w:r>
    </w:p>
    <w:p>
      <w:r>
        <w:rPr>
          <w:color w:val="555555"/>
          <w:sz w:val="17"/>
        </w:rPr>
        <w:t xml:space="preserve">Zitiervorschlag: § 85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