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BPersVG 2021 — Dienstvereinbarungen</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(1) Dienstvereinbarungen sind in Angelegenheiten des § 78 Absatz 1 Nummer 12 bis 15, des § 79 Absatz 1 Nummer 4 und 5 sowie des § 80 Absatz 1 zulässig, soweit eine gesetzliche oder tarifliche Regelung nicht besteht und es sich nicht um Einzelangelegenheiten handelt. Arbeitsentgelte und sonstige Arbeitsbedingungen, die durch Tarifvertrag geregelt sind oder üblicherweise geregelt werden, können nicht Gegenstand einer Dienstvereinbarung sein. Dies gilt nicht, wenn ein Tarifvertrag den Abschluss ergänzender Dienstvereinbarungen ausdrücklich zulässt.</w:t>
      </w:r>
    </w:p>
    <w:p>
      <w:r>
        <w:t xml:space="preserve">(2) Dienstvereinbarungen werden durch die Dienststelle und den Personalrat gemeinsam vereinbart, sind in schriftlicher oder elektronischer Form abzuschließen und in geeigneter Weise bekanntzumachen.</w:t>
      </w:r>
    </w:p>
    <w:p>
      <w:r>
        <w:t xml:space="preserve">(3) Dienstvereinbarungen, die für einen größeren Bereich gelten, gehen den Dienstvereinbarungen für einen kleineren Bereich vor.</w:t>
      </w:r>
    </w:p>
    <w:p>
      <w:r>
        <w:rPr>
          <w:color w:val="555555"/>
          <w:sz w:val="17"/>
        </w:rPr>
        <w:t xml:space="preserve">Zitiervorschlag: § 63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https://recht.nulegal.eu/gesetze/BPersVG%202021/63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