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BPersVG 2021 — Teilnahme an Schulungs- und Bildungsveranstaltungen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Die Mitglieder des Personalrats sind unter Fortzahlung der Dienstbezüge oder des Arbeitsentgelts für die Teilnahme an Schulungs- und Bildungsveranstaltungen vom Dienst freizustellen, soweit diese Kenntnisse vermitteln, die für die Tätigkeit im Personalrat erforderlich sind.</w:t>
      </w:r>
    </w:p>
    <w:p>
      <w:r>
        <w:t xml:space="preserve">(2) Unbeschadet des Absatzes 1 hat jedes Mitglied des Personalrats während seiner regelmäßigen Amtszeit Anspruch auf Freistellung vom Dienst unter Fortzahlung der Dienstbezüge oder des Arbeitsentgelts für insgesamt drei Wochen zur Teilnahme an Schulungs- und Bildungsveranstaltungen, die von der Bundeszentrale für politische Bildung als geeignet anerkannt sind. Beschäftigte, die erstmals das Amt eines Personalratsmitglieds übernehmen und nicht zuvor Jugend- und Auszubildendenvertreterinnen oder ‑vertreter gewesen sind, haben einen Anspruch nach Satz 1 für insgesamt vier Wochen.</w:t>
      </w:r>
    </w:p>
    <w:p>
      <w:r>
        <w:rPr>
          <w:color w:val="555555"/>
          <w:sz w:val="17"/>
        </w:rPr>
        <w:t xml:space="preserve">Zitiervorschlag: § 54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