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BPersVG 2021 — Sprechstunden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Der Personalrat kann Sprechstunden während der Arbeitszeit einrichten. Zeit und Ort bestimmt er im Einvernehmen mit der Leiterin oder dem Leiter der Dienststelle.</w:t>
      </w:r>
    </w:p>
    <w:p>
      <w:r>
        <w:t xml:space="preserve">(2) Führt die Jugend- und Auszubildendenvertretung keine eigenen Sprechstunden durch, so kann an den Sprechstunden des Personalrats ein Mitglied der Jugend- und Auszubildendenvertretung zur Beratung derjenigen Beschäftigten, die das 18. Lebensjahr noch nicht vollendet haben oder sich in einer beruflichen Ausbildung befinden, teilnehmen.</w:t>
      </w:r>
    </w:p>
    <w:p>
      <w:r>
        <w:t xml:space="preserve">(3) In der Geschäftsordnung kann die Durchführung der Sprechstunde mittels Video- oder Telefonkonferenz vorgesehen werden. § 38 Absatz 3 Satz 2 Nummer 1 und 3 sowie Satz 3 gilt entsprechend.</w:t>
      </w:r>
    </w:p>
    <w:p>
      <w:r>
        <w:rPr>
          <w:color w:val="555555"/>
          <w:sz w:val="17"/>
        </w:rPr>
        <w:t xml:space="preserve">Zitiervorschlag: § 45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