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BPersVG 2021 — Vorsitz</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bestimmt mit einfacher Mehrheit, welches der nach § 34 Absatz 1 gewählten Vorstandsmitglieder den Vorsitz übernimmt. Er bestimmt zugleich die Vertretung der oder des Vorsitzenden. Dabei sind die Gruppen zu berücksichtigen, denen der oder die Vorsitzende nicht angehört, es sei denn, dass die Vertreterinnen und Vertreter dieser Gruppen darauf verzichten.</w:t>
      </w:r>
    </w:p>
    <w:p>
      <w:r>
        <w:t xml:space="preserve">(2) Die oder der Vorsitzende vertritt den Personalrat im Rahmen der von diesem gefassten Beschlüsse. In Angelegenheiten, die nur eine Gruppe betreffen, vertritt die oder der Vorsitzende, wenn sie oder er nicht selbst dieser Gruppe angehört, den Personalrat gemeinsam mit einem der Gruppe angehörenden Vorstandsmitglied.</w:t>
      </w:r>
    </w:p>
    <w:p>
      <w:r>
        <w:rPr>
          <w:color w:val="555555"/>
          <w:sz w:val="17"/>
        </w:rPr>
        <w:t xml:space="preserve">Zitiervorschlag: § 35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