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BPersVG 2021 — Erlöschen der Mitgliedschaft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(1) Die Mitgliedschaft im Personalrat erlischt durch</w:t>
      </w:r>
    </w:p>
    <w:p>
      <w:pPr>
        <w:ind w:left="420"/>
      </w:pPr>
      <w:r>
        <w:t xml:space="preserve">1. Ablauf der Amtszeit,</w:t>
      </w:r>
    </w:p>
    <w:p>
      <w:pPr>
        <w:ind w:left="420"/>
      </w:pPr>
      <w:r>
        <w:t xml:space="preserve">2. Niederlegung des Amtes,</w:t>
      </w:r>
    </w:p>
    <w:p>
      <w:pPr>
        <w:ind w:left="420"/>
      </w:pPr>
      <w:r>
        <w:t xml:space="preserve">3. Beendigung des Dienst- oder Arbeitsverhältnisses,</w:t>
      </w:r>
    </w:p>
    <w:p>
      <w:pPr>
        <w:ind w:left="420"/>
      </w:pPr>
      <w:r>
        <w:t xml:space="preserve">4. Ausscheiden aus der Dienststelle,</w:t>
      </w:r>
    </w:p>
    <w:p>
      <w:pPr>
        <w:ind w:left="420"/>
      </w:pPr>
      <w:r>
        <w:t xml:space="preserve">5. Verlust der Wählbarkeit,</w:t>
      </w:r>
    </w:p>
    <w:p>
      <w:pPr>
        <w:ind w:left="420"/>
      </w:pPr>
      <w:r>
        <w:t xml:space="preserve">6. Eintritt in eine mehr als zwölfmonatige Beurlaubung,</w:t>
      </w:r>
    </w:p>
    <w:p>
      <w:pPr>
        <w:ind w:left="420"/>
      </w:pPr>
      <w:r>
        <w:t xml:space="preserve">7. Eintritt in die Freistellungsphase der Altersteilzeit im Blockmodell,</w:t>
      </w:r>
    </w:p>
    <w:p>
      <w:pPr>
        <w:ind w:left="420"/>
      </w:pPr>
      <w:r>
        <w:t xml:space="preserve">8. Ausschluss aus dem Personalrat oder Auflösung des Personalrats auf Grund einer gerichtlichen Entscheidung oder</w:t>
      </w:r>
    </w:p>
    <w:p>
      <w:pPr>
        <w:ind w:left="420"/>
      </w:pPr>
      <w:r>
        <w:t xml:space="preserve">9. gerichtliche Entscheidung über die Feststellung der Nichtwählbarkeit nach Ablauf der in § 26 bezeichneten Frist, es sei denn, der Mangel liegt nicht mehr vor.</w:t>
      </w:r>
    </w:p>
    <w:p>
      <w:r>
        <w:t xml:space="preserve">(2) Die Mitgliedschaft im Personalrat wird durch einen Wechsel der Gruppenzugehörigkeit eines Mitglieds nicht berührt; dieses vertritt weiterhin die Gruppe, von der es gewählt wurde.</w:t>
      </w:r>
    </w:p>
    <w:p>
      <w:r>
        <w:rPr>
          <w:color w:val="555555"/>
          <w:sz w:val="17"/>
        </w:rPr>
        <w:t xml:space="preserve">Zitiervorschlag: § 31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