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BPersVG 2021 — Ausschluss abweichender Regelungen</w:t>
      </w:r>
    </w:p>
    <w:p>
      <w:r>
        <w:rPr>
          <w:color w:val="555555"/>
          <w:sz w:val="18"/>
        </w:rPr>
        <w:t xml:space="preserve">Bundespersonalvertretungsgesetz</w:t>
      </w:r>
    </w:p>
    <w:p>
      <w:r>
        <w:rPr>
          <w:color w:val="555555"/>
          <w:sz w:val="18"/>
        </w:rPr>
        <w:t xml:space="preserve">Stand: 15.06.2021 (konsolidierte Textfassung, kein amtliches Inkrafttretensdatum)</w:t>
      </w:r>
    </w:p>
    <w:p>
      <w:r>
        <w:t xml:space="preserve">Durch Tarifvertrag oder Dienstvereinbarung kann das Personalvertretungsrecht nicht abweichend von diesem Gesetz geregelt werden.</w:t>
      </w:r>
    </w:p>
    <w:p>
      <w:r>
        <w:rPr>
          <w:color w:val="555555"/>
          <w:sz w:val="17"/>
        </w:rPr>
        <w:t xml:space="preserve">Zitiervorschlag: § 3 BPersVG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https://recht.nulegal.eu/gesetze/BPersVG%202021/3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