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BPersVG 2021 — Verordnungsermächtigung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Bundesregierung wird ermächtigt, zur Durchführung der in diesem Gesetz bezeichneten Wahlen durch Rechtsverordnung, die nicht der Zustimmung des Bundesrates bedarf, Vorschriften zu erlassen über</w:t>
      </w:r>
    </w:p>
    <w:p>
      <w:pPr>
        <w:ind w:left="420"/>
      </w:pPr>
      <w:r>
        <w:t xml:space="preserve">1. die Vorbereitung der Wahl, insbesondere die Aufstellung der Wählerlisten und die Errechnung der Vertreterzahl,</w:t>
      </w:r>
    </w:p>
    <w:p>
      <w:pPr>
        <w:ind w:left="420"/>
      </w:pPr>
      <w:r>
        <w:t xml:space="preserve">2. die Frist für die Einsichtnahme in die Wählerlisten und die Erhebung von Einsprüchen,</w:t>
      </w:r>
    </w:p>
    <w:p>
      <w:pPr>
        <w:ind w:left="420"/>
      </w:pPr>
      <w:r>
        <w:t xml:space="preserve">3. die Vorschlagslisten und die Frist für ihre Einreichung,</w:t>
      </w:r>
    </w:p>
    <w:p>
      <w:pPr>
        <w:ind w:left="420"/>
      </w:pPr>
      <w:r>
        <w:t xml:space="preserve">4. das Wahlausschreiben und die Fristen für seine Bekanntmachung,</w:t>
      </w:r>
    </w:p>
    <w:p>
      <w:pPr>
        <w:ind w:left="420"/>
      </w:pPr>
      <w:r>
        <w:t xml:space="preserve">5. die Stimmabgabe,</w:t>
      </w:r>
    </w:p>
    <w:p>
      <w:pPr>
        <w:ind w:left="420"/>
      </w:pPr>
      <w:r>
        <w:t xml:space="preserve">6. die Feststellung des Wahlergebnisses und die Fristen für seine Bekanntmachung,</w:t>
      </w:r>
    </w:p>
    <w:p>
      <w:pPr>
        <w:ind w:left="420"/>
      </w:pPr>
      <w:r>
        <w:t xml:space="preserve">7. die Aufbewahrung der Wahlakten.</w:t>
      </w:r>
    </w:p>
    <w:p>
      <w:r>
        <w:rPr>
          <w:color w:val="555555"/>
          <w:sz w:val="17"/>
        </w:rPr>
        <w:t xml:space="preserve">Zitiervorschlag: § 129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