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BPersVG 2021 — Besonderer Schutz von Funktionsträgern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außerordentliche Kündigung von Mitgliedern der Personalvertretungen, der Jugendvertretungen oder der Jugend- und Auszubildendenvertretungen, der Wahlvorstände sowie von Wahlbewerberinnen und Wahlbewerbern, die in einem Arbeitsverhältnis stehen, bedarf der Zustimmung der zuständigen Personalvertretung. Verweigert die zuständige Personalvertretung ihre Zustimmung oder äußert sie sich nicht innerhalb von drei Arbeitstagen nach Eingang des Antrags, so kann das Verwaltungsgericht sie auf Antrag der Leiterin oder des Leiters der Dienststelle ersetzen, wenn die außerordentliche Kündigung unter Berücksichtigung aller Umstände gerechtfertigt ist. In dem Verfahren vor dem Verwaltungsgericht ist die betroffene Person Beteiligte.</w:t>
      </w:r>
    </w:p>
    <w:p>
      <w:r>
        <w:t xml:space="preserve">(2) Auf Auszubildende, die Mitglied einer Personalvertretung oder einer Jugend- und Auszubildendenvertretung sind, ist § 56 anzuwenden.</w:t>
      </w:r>
    </w:p>
    <w:p>
      <w:r>
        <w:rPr>
          <w:color w:val="555555"/>
          <w:sz w:val="17"/>
        </w:rPr>
        <w:t xml:space="preserve">Zitiervorschlag: § 127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