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BPersVG 2021 — Ergänzende Regelungen für die Dienststellen des Deutschen Archäologischen Instituts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Die Verwaltungsstellen des Deutschen Archäologischen Instituts im Ausland sind Dienststellen, sofern es sich nicht lediglich um Nebenstellen oder Teile anderer im Ausland belegener Dienststellen handelt.</w:t>
      </w:r>
    </w:p>
    <w:p>
      <w:r>
        <w:t xml:space="preserve">(2) Die nach § 14 wahlberechtigten Beschäftigten sind außer zur Wahl des Personalrats ihrer Dienststelle auch zur Wahl des Gesamtpersonalrats des Deutschen Archäologischen Instituts wahlberechtigt, jedoch nicht wählbar.</w:t>
      </w:r>
    </w:p>
    <w:p>
      <w:r>
        <w:t xml:space="preserve">(3) Soweit eine Stufenvertretung zuständig wäre, ist an ihrer Stelle der Gesamtpersonalrat des Deutschen Archäologischen Instituts zu beteiligen. Die weitergehende Zuständigkeit des Hauptpersonalrats des Auswärtigen Amts wird hiervon nicht berührt.</w:t>
      </w:r>
    </w:p>
    <w:p>
      <w:r>
        <w:rPr>
          <w:color w:val="555555"/>
          <w:sz w:val="17"/>
        </w:rPr>
        <w:t xml:space="preserve">Zitiervorschlag: § 122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