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BPersVG 2021 — Bundesamt für Verfassungsschutz</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Präsidentin oder der Präsident des Bundesamtes für Verfassungsschutz kann nach Anhörung des Personalrats bestimmen, dass Beschäftigte, bei denen dies wegen ihrer dienstlichen Aufgaben dringend geboten ist, nicht an Personalversammlungen teilnehmen.</w:t>
      </w:r>
    </w:p>
    <w:p>
      <w:r>
        <w:t xml:space="preserve">(2) Die Regelungen der §§ 21, 37 Absatz 2, des § 42 Absatz 1 und des § 58 Absatz 2 über eine Beteiligung von Vertreterinnen oder Vertretern oder Beauftragten der Gewerkschaften und Arbeitgebervereinigungen sind nicht anzuwenden.</w:t>
      </w:r>
    </w:p>
    <w:p>
      <w:r>
        <w:t xml:space="preserve">(3) Bei der Beteiligung der Stufenvertretung und der Einigungsstelle sind Angelegenheiten, die lediglich Beschäftigte des Bundesamtes für Verfassungsschutz betreffen, in entsprechender Anwendung des § 125 wie Verschlusssachen des Geheimhaltungsgrades „VS-VERTRAULICH“ zu behandeln, soweit nicht die zuständige Stelle etwas anderes bestimmt.</w:t>
      </w:r>
    </w:p>
    <w:p>
      <w:r>
        <w:rPr>
          <w:color w:val="555555"/>
          <w:sz w:val="17"/>
        </w:rPr>
        <w:t xml:space="preserve">Zitiervorschlag: § 113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