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BPersVG 2021 — Wahlberechtigung und Wählbarkeit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(1) Wahlberechtigt sind die Beschäftigten, die am Wahltag das 18. Lebensjahr noch nicht vollendet haben oder sich in einer beruflichen Ausbildung befinden. § 14 Absatz 1 Nummer 1 und 2 sowie Absatz 2 gilt entsprechend.</w:t>
      </w:r>
    </w:p>
    <w:p>
      <w:r>
        <w:t xml:space="preserve">(2) Wählbar sind die Beschäftigten, die am Wahltag das 26. Lebensjahr noch nicht vollendet haben oder sich in einer beruflichen Ausbildung befinden. § 15 Absatz 1 Satz 1 Nummer 2, Satz 2 und Absatz 2 Nummer 1, 2 und 4 gilt entsprechend. Die gleichzeitige Mitgliedschaft im Personalrat und in der Jugend- und Auszubildendenvertretung ist zulässig. Ein Mitglied des Personalrats, das gleichzeitig Mitglied der Jugend- und Auszubildendenvertretung ist, darf bei Beschlussfassungen des Personalrats, bei denen die Vertreterinnen und Vertreter der Jugend- und Auszubildendenvertretung stimmberechtigt sind, nur eine Stimme abgeben.</w:t>
      </w:r>
    </w:p>
    <w:p>
      <w:r>
        <w:rPr>
          <w:color w:val="555555"/>
          <w:sz w:val="17"/>
        </w:rPr>
        <w:t xml:space="preserve">Zitiervorschlag: § 100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https://recht.nulegal.eu/gesetze/BPersVG%202021/100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