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BPersVG 2021 — Anwendungsbereich</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Dieser Teil gilt für die Verwaltungen des Bundes und die bundesunmittelbaren Körperschaften, Anstalten und Stiftungen des öffentlichen Rechts sowie die Gerichte des Bundes. Zu den Verwaltungen im Sinne dieses Gesetzes gehören auch die Betriebsverwaltungen.</w:t>
      </w:r>
    </w:p>
    <w:p>
      <w:r>
        <w:t xml:space="preserve">(2) Dieses Gesetz gilt nicht für Religionsgemeinschaften und ihre karitativen und erzieherischen Einrichtungen ohne Rücksicht auf ihre Rechtsform; ihnen bleibt die selbstständige Ordnung eines Personalvertretungsrechts überlassen.</w:t>
      </w:r>
    </w:p>
    <w:p>
      <w:r>
        <w:rPr>
          <w:color w:val="555555"/>
          <w:sz w:val="17"/>
        </w:rPr>
        <w:t xml:space="preserve">Zitiervorschlag: § 1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