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BPAWidAnO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Presse- und Informationsamtes der Bundesregierung in Angelegenheiten nach den Beihilfevorschriften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126 Abs. 3 Nr. 2 des Beamtenrechtsrahmengesetzes in der Fassung der Bekanntmachung vom 31. März 1999 (BGBl. I S. 654) in Verbindung mit § 172 des Bundesbeamtengesetzes in der Fassung der Bekanntmachung vom 31. März 1999 (BGBl. I S. 675) übertrage ich die Entscheidung über Widersprüche in Angelegenheiten nach den Beihilfevorschriften des Bundes auf das Bundesamt für Finanzen, soweit es die Maßnahme, die Gegenstand des Widerspruches ist, selbst getroffen hat.</w:t>
      </w:r>
    </w:p>
    <w:p>
      <w:r>
        <w:rPr>
          <w:color w:val="555555"/>
          <w:sz w:val="17"/>
        </w:rPr>
        <w:t xml:space="preserve">Zitiervorschlag: I. BPAWidAnO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https://recht.nulegal.eu/gesetze/BPAWidAnO/i.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