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BPädFortbV — Übergangsregelung</w:t>
      </w:r>
    </w:p>
    <w:p>
      <w:r>
        <w:rPr>
          <w:color w:val="555555"/>
          <w:sz w:val="18"/>
        </w:rPr>
        <w:t xml:space="preserve">Verordnung über die Prüfung zum anerkannten Fortbildungsabschluss Geprüfter Berufspädagoge/Geprüfte Berufspädagogin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Die Prüfungen zu den Abschlüssen Berufspädagoge/Berufspädagogin und Berufspädagoge (IHK)/Berufspädagogin (IHK) können bis zum 31. Dezember 2013 nach den bisherigen Vorschriften zu Ende geführt werden.</w:t>
      </w:r>
    </w:p>
    <w:p>
      <w:r>
        <w:rPr>
          <w:color w:val="555555"/>
          <w:sz w:val="17"/>
        </w:rPr>
        <w:t xml:space="preserve">Zitiervorschlag: § 15 BPädFortbV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https://recht.nulegal.eu/gesetze/BP%C3%A4dFortbV/15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