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BPädFortbV — Bestehen der Prüfung, Gesamtnote</w:t>
      </w:r>
    </w:p>
    <w:p>
      <w:r>
        <w:rPr>
          <w:color w:val="555555"/>
          <w:sz w:val="18"/>
        </w:rPr>
        <w:t xml:space="preserve">Verordnung über die Prüfung zum anerkannten Fortbildungsabschluss Geprüfter Berufspädagoge/Geprüfte Berufspädagogin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Die Prüfung ist bestanden, wenn ohne Rundung in den folgenden Prüfungsleistungen jeweils mindestens 50 Punkte erreicht worden sind:</w:t>
      </w:r>
    </w:p>
    <w:p>
      <w:pPr>
        <w:ind w:left="420"/>
      </w:pPr>
      <w:r>
        <w:t xml:space="preserve">1. in jeder Situationsaufgabe des Prüfungsteils „Kernprozesse der beruflichen Bildung“,</w:t>
      </w:r>
    </w:p>
    <w:p>
      <w:pPr>
        <w:ind w:left="420"/>
      </w:pPr>
      <w:r>
        <w:t xml:space="preserve">2. im Prüfungsteil „Berufspädagogisches Handeln in Bereichen der beruflichen Bildung“</w:t>
      </w:r>
    </w:p>
    <w:p>
      <w:pPr>
        <w:ind w:left="780"/>
      </w:pPr>
      <w:r>
        <w:t xml:space="preserve">a) in jeder Situationsaufgabe der schriftlichen Prüfung und</w:t>
      </w:r>
    </w:p>
    <w:p>
      <w:pPr>
        <w:ind w:left="780"/>
      </w:pPr>
      <w:r>
        <w:t xml:space="preserve">b) in der mündlichen Prüfung,</w:t>
      </w:r>
    </w:p>
    <w:p>
      <w:pPr>
        <w:ind w:left="420"/>
      </w:pPr>
      <w:r>
        <w:t xml:space="preserve">3. im Prüfungsteil „Spezielle berufspädagogische Funktionen“</w:t>
      </w:r>
    </w:p>
    <w:p>
      <w:pPr>
        <w:ind w:left="780"/>
      </w:pPr>
      <w:r>
        <w:t xml:space="preserve">a) in der Projektarbeit,</w:t>
      </w:r>
    </w:p>
    <w:p>
      <w:pPr>
        <w:ind w:left="780"/>
      </w:pPr>
      <w:r>
        <w:t xml:space="preserve">b) in der Präsentation und</w:t>
      </w:r>
    </w:p>
    <w:p>
      <w:pPr>
        <w:ind w:left="780"/>
      </w:pPr>
      <w:r>
        <w:t xml:space="preserve">c) im Fachgespräch.</w:t>
      </w:r>
    </w:p>
    <w:p>
      <w:r>
        <w:t xml:space="preserve">(2) Ist die Prüfung bestanden, sind die Bewertungen für alle Prüfungsteile jeweils kaufmännisch auf eine ganze Zahl zu runden.</w:t>
      </w:r>
    </w:p>
    <w:p>
      <w:r>
        <w:t xml:space="preserve">(3) Den Bewertungen für die Prüfungsteile ist nach Anlage 1 die jeweilige Note als Dezimalzahl zuzuordnen.</w:t>
      </w:r>
    </w:p>
    <w:p>
      <w:r>
        <w:t xml:space="preserve">(4) Für die Bildung einer Gesamtnote ist als Gesamtpunktzahl das gewichtete arithmetische Mittel zu berechnen. Dabei sind die Bewertungen wie folgt zu gewichten:</w:t>
      </w:r>
    </w:p>
    <w:p>
      <w:pPr>
        <w:ind w:left="420"/>
      </w:pPr>
      <w:r>
        <w:t xml:space="preserve">1. die Bewertung für den Prüfungsteil „Kernprozesse der beruflichen Bildung“ mit 30 Prozent,</w:t>
      </w:r>
    </w:p>
    <w:p>
      <w:pPr>
        <w:ind w:left="420"/>
      </w:pPr>
      <w:r>
        <w:t xml:space="preserve">2. die Bewertung für den Prüfungsteil „Berufspädagogisches Handeln in Bereichen der beruflichen Bildung“ mit 30 Prozent,</w:t>
      </w:r>
    </w:p>
    <w:p>
      <w:pPr>
        <w:ind w:left="420"/>
      </w:pPr>
      <w:r>
        <w:t xml:space="preserve">3. die Bewertung für den Prüfungsteil „Spezielle berufspädagogische Funktionen“ mit 40 Prozent.</w:t>
      </w:r>
    </w:p>
    <w:p>
      <w:r>
        <w:t xml:space="preserve">Die Gesamtpunktzahl ist kaufmännisch auf eine ganze Zahl zu runden. Der gerundeten Gesamtpunktzahl ist nach Anlage 1 die Note als Dezimalzahl und die Note in Worten zuzuordnen. Die zugeordnete Note ist die Gesamtnote.</w:t>
      </w:r>
    </w:p>
    <w:p>
      <w:r>
        <w:rPr>
          <w:color w:val="555555"/>
          <w:sz w:val="17"/>
        </w:rPr>
        <w:t xml:space="preserve">Zitiervorschlag: § 12 BPädFortbV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https://recht.nulegal.eu/gesetze/BP%C3%A4dFortbV/12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