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BPädFortbV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Fortbildungsabschluss Geprüfter Berufspädagoge/Geprüfte Berufspädagogin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Wird die zu prüfende Person nach § 56 Absatz 2 des Berufsbildungsgesetzes oder nach § 42c Absatz 2 der Handwerksordnung von der Ablegung einzelner Prüfungsbestandteile befreit, bleiben diese Prüfungsbestandteile für die Anwendung der §§ 11 und 12 außer Betracht. Für die übrigen Prüfungsbestandteile erhöhen sich die Anteile nach § 11 Absatz 2 Satz 2, Absatz 3 Satz 2, Absatz 4 Satz 2 oder Satz 3 oder § 12 Absatz 4 Satz 2 entsprechend ihrem Verhältnis zueinander. Allein diese Prüfungsbestandteile sind den Entscheidungen des Prüfungsausschusses zugrunde zu legen.</w:t>
      </w:r>
    </w:p>
    <w:p>
      <w:r>
        <w:t xml:space="preserve">(2) Hat die zu prüfende Person erfolgreich die Abschlussprüfung der Fortbildung zum Geprüften Aus- und Weiterbildungspädagogen oder zur Geprüften Aus- und Weiterbildungspädagogin abgelegt, wird auf Antrag die Prüfung in den Handlungsbereichen nach § 3 Absatz 2 Nummer 1 und 2 sowie Absatz 3 Nummer 1 erlassen.</w:t>
      </w:r>
    </w:p>
    <w:p>
      <w:r>
        <w:rPr>
          <w:color w:val="555555"/>
          <w:sz w:val="17"/>
        </w:rPr>
        <w:t xml:space="preserve">Zitiervorschlag: § 10 BPädFortbV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https://recht.nulegal.eu/gesetze/BP%C3%A4dFortbV/10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