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BOKraft 1975 — Verhalten bei Krankheit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 des im Fahrdienst oder zur Bedienung von Fahrgästen eingesetzten Betriebspersonals dürfen diese Tätigkeit nicht ausüben, solange sie oder Angehörige ihrer häuslichen Gemeinschaft an einer in § 34 Abs. 3 Nr. 2, 4, 6, 8, 11 des Infektionsschutzgesetzes vom 20. Juli 2000 (BGBl. I S. 1045) genannten Krankheit leiden, es sei denn, sie weisen durch ärztliches Zeugnis nach, daß keine Gefahr einer Übertragung der Krankheit besteht.</w:t>
      </w:r>
    </w:p>
    <w:p>
      <w:r>
        <w:t xml:space="preserve">(2) Hat ein Fahrzeugführer eine Krankheit, die seine Eignung beeinträchtigt, ein Fahrzeug sicher im Verkehr zu führen, so darf er keine Fahrten ausführen.</w:t>
      </w:r>
    </w:p>
    <w:p>
      <w:r>
        <w:t xml:space="preserve">(3) Erkrankungen nach den Absätzen 1 und 2 sind dem Unternehmer unverzüglich anzuzeigen.</w:t>
      </w:r>
    </w:p>
    <w:p>
      <w:r>
        <w:rPr>
          <w:color w:val="555555"/>
          <w:sz w:val="17"/>
        </w:rPr>
        <w:t xml:space="preserve">Zitiervorschlag: § 9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