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BOKraft 1975 — Inkrafttreten, Aufhebung von Rechtsvorschriften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tritt zwei Monate nach der Verkündung in Kraft, jedoch</w:t>
      </w:r>
    </w:p>
    <w:p>
      <w:pPr>
        <w:ind w:left="420"/>
      </w:pPr>
      <w:r>
        <w:t xml:space="preserve">1. § 21 Satz 1 Nr. 2 am 1. September 1980,</w:t>
      </w:r>
    </w:p>
    <w:p>
      <w:pPr>
        <w:ind w:left="420"/>
      </w:pPr>
      <w:r>
        <w:t xml:space="preserve">2. § 22 Abs. 1 und § 45 Abs. 1 Nr. 5 Buchstabe e am 1. September 1985 für erstmals in den Verkehr kommende Fahrzeuge,</w:t>
      </w:r>
    </w:p>
    <w:p>
      <w:pPr>
        <w:ind w:left="420"/>
      </w:pPr>
      <w:r>
        <w:t xml:space="preserve">3. § 23 und § 45 Abs. 1 Nr. 5 Buchstabe f am 1. September 1979 für diejenigen Fahrzeuge, mit denen bisher Beförderungen im Berufsverkehr (§ 43 Nr. 1 PBefG) ohne Fahrgastwechsel oder Beförderungen nach § 1 Nr. 4 Buchstabe d der Freistellungs-Verordnung durchgeführt worden sind,</w:t>
      </w:r>
    </w:p>
    <w:p>
      <w:pPr>
        <w:ind w:left="420"/>
      </w:pPr>
      <w:r>
        <w:t xml:space="preserve">4. § 26 Abs. 1 Nr. 1 und § 45 Abs. 1 Nr. 5 Buchstabe h am 1. September 1980 für Fahrzeuge mit einem anderen Farbanstrich, die im Taxenverkehr oder im Taxen- und Mietwagenverkehr (§ 46 Abs. 3 PBefG) eingesetzt sind,</w:t>
      </w:r>
    </w:p>
    <w:p>
      <w:pPr>
        <w:ind w:left="420"/>
      </w:pPr>
      <w:r>
        <w:t xml:space="preserve">5. § 26 Abs. 1 Nr. 2 und § 45 Abs. 1 Nr. 5 Buchstabe i am 1. September 1978,</w:t>
      </w:r>
    </w:p>
    <w:p>
      <w:pPr>
        <w:ind w:left="420"/>
      </w:pPr>
      <w:r>
        <w:t xml:space="preserve">6. § 32 Abs. 2 Nr. 1 und 2 am 1. September 1979,</w:t>
      </w:r>
    </w:p>
    <w:p>
      <w:pPr>
        <w:ind w:left="420"/>
      </w:pPr>
      <w:r>
        <w:t xml:space="preserve">7. § 33 Abs. 1 und Abs. 2 Satz 1 und 3 sowie § 45 Abs. 1 Nr. 5 Buchstabe o und Abs. 2 Nr. 5 Buchstabe c, soweit diese Vorschriften des § 45 auf § 33 Abs. 1 und Abs. 2 Satz 1 und 3 verweisen, am 1. September 1981.</w:t>
      </w:r>
    </w:p>
    <w:p>
      <w:r>
        <w:t xml:space="preserve">(2) Mit dem Inkrafttreten der Vorschriften dieser Verordnung treten außer Kraft die entsprechenden Vorschriften</w:t>
      </w:r>
    </w:p>
    <w:p>
      <w:pPr>
        <w:ind w:left="420"/>
      </w:pPr>
      <w:r>
        <w:t xml:space="preserve">1. der Verordnung über den Betrieb von Kraftfahrunternehmen im Personenverkehr (BOKraft) in der Fassung der Bekanntmachung vom 7. Juli 1960 (Bundesgesetzbl. I S. 553), zuletzt geändert durch Artikel 2 der Verordnung zur Änderung der Straßenverkehrs-Zulassungs-Ordnung vom 13. Juli 1971 (Bundesgesetzbl. I S. 979),</w:t>
      </w:r>
    </w:p>
    <w:p>
      <w:pPr>
        <w:ind w:left="420"/>
      </w:pPr>
      <w:r>
        <w:t xml:space="preserve">2. der Verordnung über eine allgemeine Ausnahme von dem Erfordernis des schwarzen Farbanstrichs für Taxen vom 18. Dezember 1970 (Bundesgesetzblatt I S. 1779).</w:t>
      </w:r>
    </w:p>
    <w:p>
      <w:r>
        <w:rPr>
          <w:color w:val="555555"/>
          <w:sz w:val="17"/>
        </w:rPr>
        <w:t xml:space="preserve">Zitiervorschlag: § 47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BOKraft 1975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