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32 BOKraft 1975 — Haltestellen</w:t>
      </w:r>
    </w:p>
    <w:p>
      <w:r>
        <w:rPr>
          <w:color w:val="555555"/>
          <w:sz w:val="18"/>
        </w:rPr>
        <w:t xml:space="preserve">Verordnung über den Betrieb von Kraftfahrunternehmen im Personenverkehr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Bei der Bestimmung über die Anbringung der Haltestellenzeichen nach § 45 Abs. 3 StVO ist dem genehmigten Fahrplan entsprechend den Erfordernissen des Betriebs und des Verkehrs Rechnung zu tragen.</w:t>
      </w:r>
    </w:p>
    <w:p>
      <w:r>
        <w:t xml:space="preserve">(2) Der Unternehmer hat neben den Angaben nach § 40 Abs. 4 PBefG</w:t>
      </w:r>
    </w:p>
    <w:p>
      <w:pPr>
        <w:ind w:left="420"/>
      </w:pPr>
      <w:r>
        <w:t xml:space="preserve">1. an der Haltestelle die Liniennummer sowie den Namen des Unternehmers anzubringen; anstelle des Namens des Unternehmers kann bei Verkehrsverbünden und Verkehrsgemeinschaften deren Bezeichnung treten,</w:t>
      </w:r>
    </w:p>
    <w:p>
      <w:pPr>
        <w:ind w:left="420"/>
      </w:pPr>
      <w:r>
        <w:t xml:space="preserve">2. im Orts- und Nachbarortslinienverkehr an der Haltestelle deren Bezeichnung auf einem Zusatzschild deutlich sichtbar anzugeben,</w:t>
      </w:r>
    </w:p>
    <w:p>
      <w:pPr>
        <w:ind w:left="420"/>
      </w:pPr>
      <w:r>
        <w:t xml:space="preserve">3. an verkehrsreichen Haltestellen des Ortslinienverkehrs Behälter zum Abwerfen benutzter Fahrscheine anzubringen.</w:t>
      </w:r>
    </w:p>
    <w:p>
      <w:r>
        <w:rPr>
          <w:color w:val="555555"/>
          <w:sz w:val="17"/>
        </w:rPr>
        <w:t xml:space="preserve">Zitiervorschlag: § 32 BOKraft 1975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https://recht.nulegal.eu/gesetze/BOKraft%201975/32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