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BOKraft 1975 — Fahrzeuge mit einer Genehmigung für den Taxen-, Mietwagenverkehr und gebündelten Bedarfsverkehr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02.08.2021 (konsolidierte Textfassung, kein amtliches Inkrafttretensdatum)</w:t>
      </w:r>
    </w:p>
    <w:p>
      <w:r>
        <w:t xml:space="preserve">(1) Für Fahrzeuge, die für den Taxenverkehr und mindestens einen weiteren Gelegenheitsverkehr nach § 49 Absatz 4 oder § 50 des Personenbeförderungsgesetzes genehmigt sind, gelten die §§ 25 bis 30. Für Fahrzeuge, die für den Mietwagenverkehr und gebündelten Bedarfsverkehr genehmigt sind, gelten die §§ 25, 27 Absatz 3 und 4 und § 30. Wird Mietwagen- oder gebündelter Bedarfsverkehr ausgeführt, darf das Taxischild nach § 26 Absatz 1 Nummer 2 nicht gezeigt werden.</w:t>
      </w:r>
    </w:p>
    <w:p>
      <w:r>
        <w:t xml:space="preserve">(2) Wird ein Fahrzeug nur in geringem Umfang für den Mietwagenverkehr verwendet, kann die Genehmigungsbehörde gestatten, daß das Fahrzeug nur mit einem Fahrpreisanzeiger ausgerüstet wird; in diesem Falle hat der Fahrzeugführer bei Durchführung von Mietwagenverkehr den Fahrgast auf das Fehlen eines besonderen Wegstreckenzählers und die Art der Berechnung des Beförderungsentgelts hinzuweisen.</w:t>
      </w:r>
    </w:p>
    <w:p>
      <w:r>
        <w:rPr>
          <w:color w:val="555555"/>
          <w:sz w:val="17"/>
        </w:rPr>
        <w:t xml:space="preserve">Zitiervorschlag: § 31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BOKraft 1975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