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BOKraft 1975 — Kenntlichmachung</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Taxen müssen kenntlich gemacht sein</w:t>
      </w:r>
    </w:p>
    <w:p>
      <w:pPr>
        <w:ind w:left="420"/>
      </w:pPr>
      <w:r>
        <w:t xml:space="preserve">1. durch einen hell-elfenbein-farbigen Anstrich; als Farbton ist zu wählen RAL 1015 des Farbtonregisters RAL 840 HR des Ausschusses für Lieferbedingungen und Gütesicherung (RAL) beim Deutschen Normenausschuß,</w:t>
      </w:r>
    </w:p>
    <w:p>
      <w:pPr>
        <w:ind w:left="420"/>
      </w:pPr>
      <w:r>
        <w:t xml:space="preserve">2. durch ein auf dem Dach der Taxe quer zur Fahrtrichtung angebrachtes, von innen beleuchtbares, auf der Vorderseite und auf der Rückseite mit der Aufschrift "Taxi" versehenes Schild (Taxischild) nach Anlage 1.</w:t>
      </w:r>
    </w:p>
    <w:p>
      <w:r>
        <w:t xml:space="preserve">Vorbehaltlich des Absatzes 2 ist jede andere als die nach dieser Verordnung vorgeschriebene Kenntlichmachung oder Beschriftung unzulässig.</w:t>
      </w:r>
    </w:p>
    <w:p>
      <w:r>
        <w:t xml:space="preserve">(2) Nach außen wirkende Werbung an Taxen und Mietwagen ist nur auf den seitlichen Fahrzeugtüren zulässig. Politische und religiöse Werbung an Taxen ist unzulässig.</w:t>
      </w:r>
    </w:p>
    <w:p>
      <w:r>
        <w:rPr>
          <w:color w:val="555555"/>
          <w:sz w:val="17"/>
        </w:rPr>
        <w:t xml:space="preserve">Zitiervorschlag: § 26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BOKraft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