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BOKraft 1975 — Geltungsbereich</w:t>
      </w:r>
    </w:p>
    <w:p>
      <w:r>
        <w:rPr>
          <w:color w:val="555555"/>
          <w:sz w:val="18"/>
        </w:rPr>
        <w:t xml:space="preserve">Verordnung über den Betrieb von Kraftfahrunternehmen im Personenverkehr</w:t>
      </w:r>
    </w:p>
    <w:p>
      <w:r>
        <w:rPr>
          <w:color w:val="555555"/>
          <w:sz w:val="18"/>
        </w:rPr>
        <w:t xml:space="preserve">Stand: 10.06.2019 (konsolidierte Textfassung, kein amtliches Inkrafttretensdatum)</w:t>
      </w:r>
    </w:p>
    <w:p>
      <w:r>
        <w:t xml:space="preserve">(1) Die Verordnung gilt für Unternehmen, die Fahrgäste mit Kraftfahrzeugen oder Obussen befördern, soweit sie den Vorschriften des Personenbeförderungsgesetzes unterliegen.</w:t>
      </w:r>
    </w:p>
    <w:p>
      <w:r>
        <w:t xml:space="preserve">(2) Die §§ 2, 3, 6 bis 9, §§ 14 bis 19, 20 Abs. 1 Nr. 1, §§ 21, 22, 33 Abs. 4 und 5, §§ 41, 42, § 45 Abs. 1 Nr. 1, 4, 5 Buchstaben b bis f, o, r und s, Abs. 2 Nr. 1, 4, 5 Buchstaben a und c, Nr. 6, § 47 Abs. 1 Nr. 1 bis 3 gelten entsprechend bei Beförderungen nach § 1 Nr. 4 Buchstaben d, g und i der Freistellungs-Verordnung vom 30. August 1962 (BGBl. I S. 601), die zuletzt durch Artikel 1 der Zweiten Verordnung zur Änderung personenbeförderungsrechtlicher Vorschriften vom 30. Juni 1989 (BGBl. I S. 1273) geändert worden ist, sofern dabei Kraftfahrzeuge verwendet werden, die nach Bauart und Ausstattung zur Beförderung von mehr als sechs Personen (einschließlich Fahrzeugführer) geeignet und bestimmt sind. Als Genehmigungsbehörde im Sinne dieser Vorschriften gilt diejenige Behörde, die im Falle einer Nichtfreistellung von den Vorschriften des Personenbeförderungsgesetzes zuständig wäre.</w:t>
      </w:r>
    </w:p>
    <w:p>
      <w:r>
        <w:rPr>
          <w:color w:val="555555"/>
          <w:sz w:val="17"/>
        </w:rPr>
        <w:t xml:space="preserve">Zitiervorschlag: § 1 BOKraft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https://recht.nulegal.eu/gesetze/BOKraft%201975/1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BOKraft 1975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