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BOA (Brandenburg) — Betriebsaufnahme, Inbetriebnahme, Betriebsführung</w:t>
      </w:r>
    </w:p>
    <w:p>
      <w:r>
        <w:rPr>
          <w:color w:val="555555"/>
          <w:sz w:val="18"/>
        </w:rPr>
        <w:t xml:space="preserve">Bau- und Betriebsordnung für Anschlußbahnen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Für das Betreiben einer neuen und bei Rechtsträger- oder</w:t>
      </w:r>
    </w:p>
    <w:p>
      <w:r>
        <w:t xml:space="preserve">Eigentumswechsel einer bestehenden Anschlußbahn ist die "Genehmigung</w:t>
      </w:r>
    </w:p>
    <w:p>
      <w:r>
        <w:t xml:space="preserve">für die Betriebsaufnahme" durch die Staatliche Bahnaufsicht</w:t>
      </w:r>
    </w:p>
    <w:p>
      <w:r>
        <w:t xml:space="preserve">erforderlich. Zur Wiederinbetriebnahme einer Anschlußbahn und bei einem</w:t>
      </w:r>
    </w:p>
    <w:p>
      <w:r>
        <w:t xml:space="preserve">Rechtsträger- oder Eigentumswechsel ist dem Antrag eine Bestätigung</w:t>
      </w:r>
    </w:p>
    <w:p>
      <w:r>
        <w:t xml:space="preserve">des für Verkehr zuständigen Mitgliedes des Rates des Bezirkes</w:t>
      </w:r>
    </w:p>
    <w:p>
      <w:r>
        <w:t xml:space="preserve">über die volkswirtschaftliche Notwendigkeit der Bahn für den neuen</w:t>
      </w:r>
    </w:p>
    <w:p>
      <w:r>
        <w:t xml:space="preserve">Rechtsträger oder Eigentümer beizufügen.</w:t>
      </w:r>
    </w:p>
    <w:p>
      <w:r>
        <w:t xml:space="preserve">(2) Für die Inbetriebnahme neuer oder veränderter Bahnanlagen, von</w:t>
      </w:r>
    </w:p>
    <w:p>
      <w:r>
        <w:t xml:space="preserve">Fahrzeugen sowie sonstigen Rangiermitteln - außer</w:t>
      </w:r>
    </w:p>
    <w:p>
      <w:r>
        <w:t xml:space="preserve">Straßenkraftfahrzeugen, Einradwagenschiebern und Handseilwinden - ist die</w:t>
      </w:r>
    </w:p>
    <w:p>
      <w:r>
        <w:t xml:space="preserve">"Genehmigung zur Inbetriebnahme" durch die Staatliche Bahnaufsicht</w:t>
      </w:r>
    </w:p>
    <w:p>
      <w:r>
        <w:t xml:space="preserve">erforderlich.</w:t>
      </w:r>
    </w:p>
    <w:p>
      <w:r>
        <w:t xml:space="preserve">(3) Mit der Erteilung von Zustimmungen oder Genehmigungen durch die</w:t>
      </w:r>
    </w:p>
    <w:p>
      <w:r>
        <w:t xml:space="preserve">staatliche Bahnaufsicht wird die Pflicht des Anschließers zur Einholung</w:t>
      </w:r>
    </w:p>
    <w:p>
      <w:r>
        <w:t xml:space="preserve">von Zustimmungen und Genehmigungen anderer Organe auf der Grundlage anderer</w:t>
      </w:r>
    </w:p>
    <w:p>
      <w:r>
        <w:t xml:space="preserve">Rechtsvorschriften nicht berührt.</w:t>
      </w:r>
    </w:p>
    <w:p>
      <w:r>
        <w:t xml:space="preserve">(4) Für die Betriebsführung mit Triebfahrzeugen oder sonstigen</w:t>
      </w:r>
    </w:p>
    <w:p>
      <w:r>
        <w:t xml:space="preserve">Rangiermitteln - außer für Einradwagenschieber und Handseilwinden -</w:t>
      </w:r>
    </w:p>
    <w:p>
      <w:r>
        <w:t xml:space="preserve">ist die "Genehmigung zur Aufnahme der Betriebsführung" durch die</w:t>
      </w:r>
    </w:p>
    <w:p>
      <w:r>
        <w:t xml:space="preserve">Staatliche Bahnaufsicht erforderlich. Mit dem Antrag auf Erteilung dieser</w:t>
      </w:r>
    </w:p>
    <w:p>
      <w:r>
        <w:t xml:space="preserve">Genehmigung ist nachzuweisen, daß die dafür in dieser Anordnung</w:t>
      </w:r>
    </w:p>
    <w:p>
      <w:r>
        <w:t xml:space="preserve">geforderten Voraussetzungen vorhanden sind.</w:t>
      </w:r>
    </w:p>
    <w:p>
      <w:r>
        <w:rPr>
          <w:color w:val="555555"/>
          <w:sz w:val="17"/>
        </w:rPr>
        <w:t xml:space="preserve">Zitiervorschlag: § 9 BOA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https://recht.nulegal.eu/gesetze/BOA/9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