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BOA (Brandenburg) — Ausnahmegenehmigungen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Wenn aus zwingenden volkswirtschaftlichen Gründen beim Bau, bei</w:t>
      </w:r>
    </w:p>
    <w:p>
      <w:r>
        <w:t xml:space="preserve">Veränderungen und bei der Instandhaltung von Bahnanlagen und Fahrzeugen</w:t>
      </w:r>
    </w:p>
    <w:p>
      <w:r>
        <w:t xml:space="preserve">sowie beim Betriebsdienst von den Bestimmungen dieser Anordnung und den</w:t>
      </w:r>
    </w:p>
    <w:p>
      <w:r>
        <w:t xml:space="preserve">dazugehörigen Anweisungen abgewichen werden muß, so ist hierfür</w:t>
      </w:r>
    </w:p>
    <w:p>
      <w:r>
        <w:t xml:space="preserve">vorher vom Anschließer eine Ausnahmegenehmigung mit ausführlicher</w:t>
      </w:r>
    </w:p>
    <w:p>
      <w:r>
        <w:t xml:space="preserve">Begründung bei der Staatlichen Bahnaufsicht zu beantragen. Die</w:t>
      </w:r>
    </w:p>
    <w:p>
      <w:r>
        <w:t xml:space="preserve">Antragsunterlagen sind in zweifacher Ausfertigung vorzulegen. Dem Antrag sind</w:t>
      </w:r>
    </w:p>
    <w:p>
      <w:r>
        <w:t xml:space="preserve">alle in Rechtsvorschriften geforderten Zustimmungen und Genehmigungen</w:t>
      </w:r>
    </w:p>
    <w:p>
      <w:r>
        <w:t xml:space="preserve">beizufügen.</w:t>
      </w:r>
    </w:p>
    <w:p>
      <w:r>
        <w:rPr>
          <w:color w:val="555555"/>
          <w:sz w:val="17"/>
        </w:rPr>
        <w:t xml:space="preserve">Zitiervorschlag: § 66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