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BOA (Brandenburg) — Bewegen von Fahrzeugen im Rangierdienst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Beim Rangieren wird auf Sicht gefahren, mit Hindernissen im Rangierweg</w:t>
      </w:r>
    </w:p>
    <w:p>
      <w:r>
        <w:t xml:space="preserve">muß stets gerechnet werden. Jede Fahrt ist so vorsichtig</w:t>
      </w:r>
    </w:p>
    <w:p>
      <w:r>
        <w:t xml:space="preserve">auszuführen, daß Verletzungen von Menschen und Beschädigungen</w:t>
      </w:r>
    </w:p>
    <w:p>
      <w:r>
        <w:t xml:space="preserve">an Fahrzeugen, Ladungen und Anlagen vermieden werden.</w:t>
      </w:r>
    </w:p>
    <w:p>
      <w:r>
        <w:t xml:space="preserve">(2) Rangierfahrten dürfen sich gegenseitig nicht gefährden.</w:t>
      </w:r>
    </w:p>
    <w:p>
      <w:r>
        <w:t xml:space="preserve">Erfordert die örtliche Rangiertechnologie das gleichzeitige Rangieren mit</w:t>
      </w:r>
    </w:p>
    <w:p>
      <w:r>
        <w:t xml:space="preserve">mehreren Rangierabteilungen, haben sich die Rangierleiter vorher über die</w:t>
      </w:r>
    </w:p>
    <w:p>
      <w:r>
        <w:t xml:space="preserve">durchzuführenden Rangierfahrten zu verständigen. Das gilt auch</w:t>
      </w:r>
    </w:p>
    <w:p>
      <w:r>
        <w:t xml:space="preserve">für das Rangieren mit verschiedenartigen Rangiermitteln. In der</w:t>
      </w:r>
    </w:p>
    <w:p>
      <w:r>
        <w:t xml:space="preserve">Dienstordnung sind entsprechende Festlegungen zu treffen. Gleisbereiche der</w:t>
      </w:r>
    </w:p>
    <w:p>
      <w:r>
        <w:t xml:space="preserve">Anschlußbahn, die von bestimmten Triebfahrzeugen nicht befahren werden</w:t>
      </w:r>
    </w:p>
    <w:p>
      <w:r>
        <w:t xml:space="preserve">dürfen, sind örtlich zu kennzeichnen.</w:t>
      </w:r>
    </w:p>
    <w:p>
      <w:r>
        <w:t xml:space="preserve">(3) Gleichzeitig zu bewegende Fahrzeuge müssen untereinander gekuppelt</w:t>
      </w:r>
    </w:p>
    <w:p>
      <w:r>
        <w:t xml:space="preserve">sein, soweit sie nicht beigedrückt werden sollen. Weitere Bestimmungen</w:t>
      </w:r>
    </w:p>
    <w:p>
      <w:r>
        <w:t xml:space="preserve">über das Kuppeln enthält die Anweisung Nr. 24 zur BOA - Kuppeln von</w:t>
      </w:r>
    </w:p>
    <w:p>
      <w:r>
        <w:t xml:space="preserve">Fahrzeugen -.</w:t>
      </w:r>
    </w:p>
    <w:p>
      <w:r>
        <w:t xml:space="preserve">(4) Nur mit Zustimmung der Staatlichen Bahnaufsicht darf das Abstoßen</w:t>
      </w:r>
    </w:p>
    <w:p>
      <w:r>
        <w:t xml:space="preserve">und Ablaufenlassen von Wagen erfolgen. Hierfür gelten die Bestimmungen der</w:t>
      </w:r>
    </w:p>
    <w:p>
      <w:r>
        <w:t xml:space="preserve">Fahrdienstvorschriften. (5) Die Geschwindigkeit beim Rangieren darf</w:t>
      </w:r>
    </w:p>
    <w:p>
      <w:r>
        <w:t xml:space="preserve">&gt;</w:t>
      </w:r>
    </w:p>
    <w:p>
      <w:r>
        <w:t xml:space="preserve">20 km/h beim Einsatz von Triebfahrzeugen,</w:t>
      </w:r>
    </w:p>
    <w:p>
      <w:r>
        <w:t xml:space="preserve">5 km/h bei Verwendung der sonstigen Rangiermittel</w:t>
      </w:r>
    </w:p>
    <w:p>
      <w:r>
        <w:t xml:space="preserve">nicht überschreiten. Höhere Geschwindigkeiten sind nur mit</w:t>
      </w:r>
    </w:p>
    <w:p>
      <w:r>
        <w:t xml:space="preserve">Zustimmung der Staatlichen Bahnaufsicht zulässig. Die in der</w:t>
      </w:r>
    </w:p>
    <w:p>
      <w:r>
        <w:t xml:space="preserve">Anschlußbahn zugelassenen Geschwindigkeiten sind in der Dienstordnung</w:t>
      </w:r>
    </w:p>
    <w:p>
      <w:r>
        <w:t xml:space="preserve">festzulegen und, soweit notwendig, zu signalisieren.</w:t>
      </w:r>
    </w:p>
    <w:p>
      <w:r>
        <w:t xml:space="preserve">6) Beim Rangieren mit sonstigen Rangiermitteln sind neben den allgemeinen</w:t>
      </w:r>
    </w:p>
    <w:p>
      <w:r>
        <w:t xml:space="preserve">Grundsätzen des Rangierdienstes die Bestimmungen in der Anweisung Nr. 25</w:t>
      </w:r>
    </w:p>
    <w:p>
      <w:r>
        <w:t xml:space="preserve">zur BOA - Rangieren mit sonstigen Rangiermitteln - zu beachten.</w:t>
      </w:r>
    </w:p>
    <w:p>
      <w:r>
        <w:t xml:space="preserve">(7) Für das Rangieren mit Handseilwinden und Einradwagenschiebern gilt</w:t>
      </w:r>
    </w:p>
    <w:p>
      <w:r>
        <w:t xml:space="preserve">die Anweisung Nr. 26 zur BOA - Handseilwinden und Einradwagenschieber -.</w:t>
      </w:r>
    </w:p>
    <w:p>
      <w:r>
        <w:t xml:space="preserve">(8) Für das Befahren von Normalspurgleisen und Weichen mit Halbmessern</w:t>
      </w:r>
    </w:p>
    <w:p>
      <w:r>
        <w:t xml:space="preserve">R &lt; 180 m (auch Leitschienen- und Auflaufbogen) gilt die Anweisung Nr. 27</w:t>
      </w:r>
    </w:p>
    <w:p>
      <w:r>
        <w:t xml:space="preserve">zur BOA - Befahren von Gleisbogen R &lt; 180 m -.</w:t>
      </w:r>
    </w:p>
    <w:p>
      <w:r>
        <w:t xml:space="preserve">(9) Die Bestimmungen über Anhängemassen der Triebfahrzeuge und</w:t>
      </w:r>
    </w:p>
    <w:p>
      <w:r>
        <w:t xml:space="preserve">Bremsbesetzung enthält die Anweisung Nr. 28 zur BOA - Anhängemassen</w:t>
      </w:r>
    </w:p>
    <w:p>
      <w:r>
        <w:t xml:space="preserve">und Bremsbesetzung -.</w:t>
      </w:r>
    </w:p>
    <w:p>
      <w:r>
        <w:rPr>
          <w:color w:val="555555"/>
          <w:sz w:val="17"/>
        </w:rPr>
        <w:t xml:space="preserve">Zitiervorschlag: § 56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https://recht.nulegal.eu/gesetze/BOA/56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