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BOA (Brandenburg) — Allgemeines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Unter Betriebsdienst sind alle Maßnahmen und Tätigkeiten zu</w:t>
      </w:r>
    </w:p>
    <w:p>
      <w:r>
        <w:t xml:space="preserve">verstehen, die das Bewegen von Fahrzeugen zum Zwecke</w:t>
      </w:r>
    </w:p>
    <w:p>
      <w:r>
        <w:t xml:space="preserve">der Bildung, Beförderung und Auflösung der Züge,</w:t>
      </w:r>
    </w:p>
    <w:p>
      <w:r>
        <w:t xml:space="preserve">der Bedienung der Ladestellen und sonstigen Anlagen,</w:t>
      </w:r>
    </w:p>
    <w:p>
      <w:r>
        <w:t xml:space="preserve">der Durchführung der Fahrten mit Nebenfahrzeugen</w:t>
      </w:r>
    </w:p>
    <w:p>
      <w:r>
        <w:t xml:space="preserve">betreffen.</w:t>
      </w:r>
    </w:p>
    <w:p>
      <w:r>
        <w:t xml:space="preserve">(2) Das Bewegen von Fahrzeugen kann entsprechend den örtlichen</w:t>
      </w:r>
    </w:p>
    <w:p>
      <w:r>
        <w:t xml:space="preserve">Verhältnissen erfolgen durch</w:t>
      </w:r>
    </w:p>
    <w:p>
      <w:r>
        <w:t xml:space="preserve">Triebfahrzeuge,</w:t>
      </w:r>
    </w:p>
    <w:p>
      <w:r>
        <w:t xml:space="preserve">sonstige Rangiermittel mit Fahr- bzw. Kraftantrieb,</w:t>
      </w:r>
    </w:p>
    <w:p>
      <w:r>
        <w:t xml:space="preserve">Handseilwinden und Einradwagenschieber.</w:t>
      </w:r>
    </w:p>
    <w:p>
      <w:r>
        <w:t xml:space="preserve">(3) Die Bestimmungen dieses Abschnittes und der dazugehörigen</w:t>
      </w:r>
    </w:p>
    <w:p>
      <w:r>
        <w:t xml:space="preserve">Anweisungen gelten für den Rangierdienst, sofern keine Festlegungen</w:t>
      </w:r>
    </w:p>
    <w:p>
      <w:r>
        <w:t xml:space="preserve">für den Zugfahrdienst getroffen sind.</w:t>
      </w:r>
    </w:p>
    <w:p>
      <w:r>
        <w:t xml:space="preserve">(4) Der Zugfahrdienst und die Fahrten mit Nebenfahrzeugen auf</w:t>
      </w:r>
    </w:p>
    <w:p>
      <w:r>
        <w:t xml:space="preserve">Streckengleisen sind nach den Fahrdienstvorschriften (FV) (Dienstvorschrift 408</w:t>
      </w:r>
    </w:p>
    <w:p>
      <w:r>
        <w:t xml:space="preserve">der Deutschen Reichsbahn) und den sonst anzuwendenden Dienstvorschriften der</w:t>
      </w:r>
    </w:p>
    <w:p>
      <w:r>
        <w:t xml:space="preserve">Deutschen Reichsbahn zu regeln. Die Bereiche mit Zugfahrdienst und die</w:t>
      </w:r>
    </w:p>
    <w:p>
      <w:r>
        <w:t xml:space="preserve">dafür anzuwendenden Vorschriften sind in der Dienstordnung festzulegen.</w:t>
      </w:r>
    </w:p>
    <w:p>
      <w:r>
        <w:t xml:space="preserve">(5) Für Zugfahrten zwischen Anschlußbahnen und Werkbahnen im</w:t>
      </w:r>
    </w:p>
    <w:p>
      <w:r>
        <w:t xml:space="preserve">Braunkohlenbergbau trifft die Staatliche Bahnaufsicht nach Abstimmung mit der</w:t>
      </w:r>
    </w:p>
    <w:p>
      <w:r>
        <w:t xml:space="preserve">zuständigen Bergbehörde auf Antrag besondere Festlegungen.</w:t>
      </w:r>
    </w:p>
    <w:p>
      <w:r>
        <w:rPr>
          <w:color w:val="555555"/>
          <w:sz w:val="17"/>
        </w:rPr>
        <w:t xml:space="preserve">Zitiervorschlag: § 51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