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BOA (Brandenburg) — Anschriften der Fahrzeuge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Fahrzeuge müssen folgende Anschriften tragen:</w:t>
      </w:r>
    </w:p>
    <w:p>
      <w:r>
        <w:t xml:space="preserve">Name des Rechtsträgers bzw. Eigentümers,</w:t>
      </w:r>
    </w:p>
    <w:p>
      <w:r>
        <w:t xml:space="preserve">Fabrikschild mit dem Namen des Herstellers, der Fabriknummer und dem Jahr</w:t>
      </w:r>
    </w:p>
    <w:p>
      <w:r>
        <w:t xml:space="preserve">der Herstellung,</w:t>
      </w:r>
    </w:p>
    <w:p>
      <w:r>
        <w:t xml:space="preserve">Fahrzeugnummer,</w:t>
      </w:r>
    </w:p>
    <w:p>
      <w:r>
        <w:t xml:space="preserve">Bauart der Bremsen.</w:t>
      </w:r>
    </w:p>
    <w:p>
      <w:r>
        <w:t xml:space="preserve">Bremswert für die durchgehende Bremse, bei Bremsbauarten mit</w:t>
      </w:r>
    </w:p>
    <w:p>
      <w:r>
        <w:t xml:space="preserve">verschiedenen Bremsstellungen die Bremswerte für jede Bremsstellung,</w:t>
      </w:r>
    </w:p>
    <w:p>
      <w:r>
        <w:t xml:space="preserve">Eigenmasse, einschließlich der Masse der dauernd mitgeführten</w:t>
      </w:r>
    </w:p>
    <w:p>
      <w:r>
        <w:t xml:space="preserve">Einrichtungsgegenstände, bei Triebfahrzeugen die Dienstmasse,</w:t>
      </w:r>
    </w:p>
    <w:p>
      <w:r>
        <w:t xml:space="preserve">zulässige Fahrzeuggeschwindigkeit,</w:t>
      </w:r>
    </w:p>
    <w:p>
      <w:r>
        <w:t xml:space="preserve">Datum der letzten Untersuchung bzw. der Inbetriebnahme,</w:t>
      </w:r>
    </w:p>
    <w:p>
      <w:r>
        <w:t xml:space="preserve">Datum der letzten Bremsrevision, der letzten Bremsuntersuchung und</w:t>
      </w:r>
    </w:p>
    <w:p>
      <w:r>
        <w:t xml:space="preserve">gegebenenfalls der Verlängerung der Frist,</w:t>
      </w:r>
    </w:p>
    <w:p>
      <w:r>
        <w:t xml:space="preserve">Verbotszeichen für das Befahren von Ablaufbergen,</w:t>
      </w:r>
    </w:p>
    <w:p>
      <w:r>
        <w:t xml:space="preserve">Warnzeichen mit Blitzpfeil und gegebenenfalls Warntext an den Stellen, an</w:t>
      </w:r>
    </w:p>
    <w:p>
      <w:r>
        <w:t xml:space="preserve">denen vor einer Gefährdung durch elektrischen Strom gewarnt werden</w:t>
      </w:r>
    </w:p>
    <w:p>
      <w:r>
        <w:t xml:space="preserve">muß.</w:t>
      </w:r>
    </w:p>
    <w:p>
      <w:r>
        <w:t xml:space="preserve">(2) Wagen müssen außerdem folgende Anschriften tragen:</w:t>
      </w:r>
    </w:p>
    <w:p>
      <w:r>
        <w:t xml:space="preserve">Tragfähigkeit in t,</w:t>
      </w:r>
    </w:p>
    <w:p>
      <w:r>
        <w:t xml:space="preserve">Fassungsvermögen bei Behälterwagen in m3, hl oder l und das</w:t>
      </w:r>
    </w:p>
    <w:p>
      <w:r>
        <w:t xml:space="preserve">zulässige Ladegut.</w:t>
      </w:r>
    </w:p>
    <w:p>
      <w:r>
        <w:t xml:space="preserve">(3) Weitere Anschriften, die innerbetrieblich benötigt werden, sind vom</w:t>
      </w:r>
    </w:p>
    <w:p>
      <w:r>
        <w:t xml:space="preserve">Anschließer in der Dienstordnung festzulegen.</w:t>
      </w:r>
    </w:p>
    <w:p>
      <w:r>
        <w:t xml:space="preserve">(4) Bei Wagen kann der Umfang der Anschriften gemäß der</w:t>
      </w:r>
    </w:p>
    <w:p>
      <w:r>
        <w:t xml:space="preserve">Absätze 1 und 2 entsprechend den betrieblichen Bedingungen reduziert</w:t>
      </w:r>
    </w:p>
    <w:p>
      <w:r>
        <w:t xml:space="preserve">werden, wenn gewährleistet ist, daß den Betriebseisenbahnern und den</w:t>
      </w:r>
    </w:p>
    <w:p>
      <w:r>
        <w:t xml:space="preserve">am Umschlagprozeß Beteiligten die für ihre Dienstausübung</w:t>
      </w:r>
    </w:p>
    <w:p>
      <w:r>
        <w:t xml:space="preserve">erforderlichen Parameter bekannt sind. Hierzu sind entsprechende Festlegungen</w:t>
      </w:r>
    </w:p>
    <w:p>
      <w:r>
        <w:t xml:space="preserve">in der Dienstordnung aufzunehmen.</w:t>
      </w:r>
    </w:p>
    <w:p>
      <w:r>
        <w:t xml:space="preserve">(5) Alle Anschriften sind gut sichtbar anzubringen und zu erhalten.</w:t>
      </w:r>
    </w:p>
    <w:p>
      <w:r>
        <w:rPr>
          <w:color w:val="555555"/>
          <w:sz w:val="17"/>
        </w:rPr>
        <w:t xml:space="preserve">Zitiervorschlag: § 49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https://recht.nulegal.eu/gesetze/BOA/49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