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BOA (Brandenburg) — Ausrüstung der Fahrzeuge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Triebfahrzeuge müssen mit</w:t>
      </w:r>
    </w:p>
    <w:p>
      <w:r>
        <w:t xml:space="preserve">einer Einrichtung zum Geben einwandfrei hörbarer Signale,</w:t>
      </w:r>
    </w:p>
    <w:p>
      <w:r>
        <w:t xml:space="preserve">Bahnräumern vorn und hinten,</w:t>
      </w:r>
    </w:p>
    <w:p>
      <w:r>
        <w:t xml:space="preserve">einer sicher wirkenden Sandstreueinrichtung für jede Fahrtrichtung,</w:t>
      </w:r>
    </w:p>
    <w:p>
      <w:r>
        <w:t xml:space="preserve">Einrichtungen zum Führen des Spitzen- und Schlußsignales und zum</w:t>
      </w:r>
    </w:p>
    <w:p>
      <w:r>
        <w:t xml:space="preserve">Beleuchten des Führerstandes,</w:t>
      </w:r>
    </w:p>
    <w:p>
      <w:r>
        <w:t xml:space="preserve">Griffen unter den Puffern</w:t>
      </w:r>
    </w:p>
    <w:p>
      <w:r>
        <w:t xml:space="preserve">ausgerüstet sein.</w:t>
      </w:r>
    </w:p>
    <w:p>
      <w:r>
        <w:t xml:space="preserve">(2) Dampfspeicherlokomotiven müssen mit einer geeigneten</w:t>
      </w:r>
    </w:p>
    <w:p>
      <w:r>
        <w:t xml:space="preserve">Sperrvorrichtung ausgerüstet sein, die sicherstellt, daß die</w:t>
      </w:r>
    </w:p>
    <w:p>
      <w:r>
        <w:t xml:space="preserve">Dampffülleitung erst dann angeschlossen werden kann, wenn die Steuerung</w:t>
      </w:r>
    </w:p>
    <w:p>
      <w:r>
        <w:t xml:space="preserve">der Dampfspeicherlokomotive in Mittelstellung liegt und die</w:t>
      </w:r>
    </w:p>
    <w:p>
      <w:r>
        <w:t xml:space="preserve">Zylinderentwässerung geöffnet ist.</w:t>
      </w:r>
    </w:p>
    <w:p>
      <w:r>
        <w:t xml:space="preserve">(3) Dampflokomotiven, auf denen feste Brennstoffe verfeuert werden,</w:t>
      </w:r>
    </w:p>
    <w:p>
      <w:r>
        <w:t xml:space="preserve">müssen mit verschließbaren Aschekästen, Funkenfängern und</w:t>
      </w:r>
    </w:p>
    <w:p>
      <w:r>
        <w:t xml:space="preserve">Näßeinrichtungen ausgerüstet sein. Der Brennraum</w:t>
      </w:r>
    </w:p>
    <w:p>
      <w:r>
        <w:t xml:space="preserve">ölgefeuerter Dampflokomotiven muß so ausgeführt sein, daß</w:t>
      </w:r>
    </w:p>
    <w:p>
      <w:r>
        <w:t xml:space="preserve">das Öl nicht auslaufen kann.</w:t>
      </w:r>
    </w:p>
    <w:p>
      <w:r>
        <w:t xml:space="preserve">(4) Wagen müssen unter den Puffern mit Griffen ausgerüstet sein.</w:t>
      </w:r>
    </w:p>
    <w:p>
      <w:r>
        <w:t xml:space="preserve">(5) Güterwagen müssen an jeder Längsseite mindestens einen</w:t>
      </w:r>
    </w:p>
    <w:p>
      <w:r>
        <w:t xml:space="preserve">Rangierertritt und einen seitlichen Griff haben.</w:t>
      </w:r>
    </w:p>
    <w:p>
      <w:r>
        <w:t xml:space="preserve">(6) Im Zugfahrdienst eingesetzte Wagen müssen mit Signalstützen</w:t>
      </w:r>
    </w:p>
    <w:p>
      <w:r>
        <w:t xml:space="preserve">ausgerüstet sein.</w:t>
      </w:r>
    </w:p>
    <w:p>
      <w:r>
        <w:t xml:space="preserve">(7) Die Ausrüstung von Wagen für die Personenbeförderung</w:t>
      </w:r>
    </w:p>
    <w:p>
      <w:r>
        <w:t xml:space="preserve">gemäß § 4 wird im Einzelfall durch die Staatliche Bahnaufsicht</w:t>
      </w:r>
    </w:p>
    <w:p>
      <w:r>
        <w:t xml:space="preserve">festgelegt.</w:t>
      </w:r>
    </w:p>
    <w:p>
      <w:r>
        <w:t xml:space="preserve">(8) Nebenfahrzeuge mit Fahrantrieb müssen</w:t>
      </w:r>
    </w:p>
    <w:p>
      <w:r>
        <w:t xml:space="preserve">mit einer Einrichtung zum Geben einwandfrei hörbarer Signale,</w:t>
      </w:r>
    </w:p>
    <w:p>
      <w:r>
        <w:t xml:space="preserve">mit Einrichtungen zum Führen des Spitzen- und Schlußsignales und</w:t>
      </w:r>
    </w:p>
    <w:p>
      <w:r>
        <w:t xml:space="preserve">in der Regel mit einer sicher wirkenden Sandstreueinrichtung für jede</w:t>
      </w:r>
    </w:p>
    <w:p>
      <w:r>
        <w:t xml:space="preserve">Fahrtrichtung</w:t>
      </w:r>
    </w:p>
    <w:p>
      <w:r>
        <w:t xml:space="preserve">ausgerüstet sein.</w:t>
      </w:r>
    </w:p>
    <w:p>
      <w:r>
        <w:t xml:space="preserve">(9) Fahrzeuge mit Hauptluftleitung müssen mit Bremsschlauchhaltern</w:t>
      </w:r>
    </w:p>
    <w:p>
      <w:r>
        <w:t xml:space="preserve">ausgerüstet sein.</w:t>
      </w:r>
    </w:p>
    <w:p>
      <w:r>
        <w:rPr>
          <w:color w:val="555555"/>
          <w:sz w:val="17"/>
        </w:rPr>
        <w:t xml:space="preserve">Zitiervorschlag: § 48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https://recht.nulegal.eu/gesetze/BOA/48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