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BOA (Brandenburg) — Bremsen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Neu zu bauende Triebfahrzeuge müssen mit einer selbsttätig</w:t>
      </w:r>
    </w:p>
    <w:p>
      <w:r>
        <w:t xml:space="preserve">wirkenden durchgehenden Druckluftbremse, einer Zusatzbremse und einer</w:t>
      </w:r>
    </w:p>
    <w:p>
      <w:r>
        <w:t xml:space="preserve">Feststellbremse ausgerüstet sein. Feststellbremsen sind in</w:t>
      </w:r>
    </w:p>
    <w:p>
      <w:r>
        <w:t xml:space="preserve">betriebsdienstlicher Hinsicht keine Handbremsen.</w:t>
      </w:r>
    </w:p>
    <w:p>
      <w:r>
        <w:t xml:space="preserve">(2) Triebfahrzeuge ohne Druckluftbremse müssen mit einer in der</w:t>
      </w:r>
    </w:p>
    <w:p>
      <w:r>
        <w:t xml:space="preserve">Bremsstellung festlegbaren Hand- bzw. Fußbremse ausgerüstet sein.</w:t>
      </w:r>
    </w:p>
    <w:p>
      <w:r>
        <w:t xml:space="preserve">(3) Brems- und Endbühnen müssen so gestaltet sein, daß sie</w:t>
      </w:r>
    </w:p>
    <w:p>
      <w:r>
        <w:t xml:space="preserve">sicher betreten werden können und der Bremser auf elektrifizierten Bahnen</w:t>
      </w:r>
    </w:p>
    <w:p>
      <w:r>
        <w:t xml:space="preserve">durch Einhaltung der Sicherheitsabstände zu spannungsführenden</w:t>
      </w:r>
    </w:p>
    <w:p>
      <w:r>
        <w:t xml:space="preserve">Fahrleitungen gemäß Dienstvorschrift für den Dienst auf</w:t>
      </w:r>
    </w:p>
    <w:p>
      <w:r>
        <w:t xml:space="preserve">Strecken mit elektrischer Zugförderung gegen Gefährdungen</w:t>
      </w:r>
    </w:p>
    <w:p>
      <w:r>
        <w:t xml:space="preserve">geschützt ist.</w:t>
      </w:r>
    </w:p>
    <w:p>
      <w:r>
        <w:t xml:space="preserve">(4) Nebenfahrzeuge mit Fahrantrieb müssen mindestens mit einer der</w:t>
      </w:r>
    </w:p>
    <w:p>
      <w:r>
        <w:t xml:space="preserve">Betriebsart entsprechenden sicher wirkenden Bremse ausgerüstet sein.</w:t>
      </w:r>
    </w:p>
    <w:p>
      <w:r>
        <w:t xml:space="preserve">Nebenfahrzeuge, die in Züge eingestellt werden sollen, müssen an die</w:t>
      </w:r>
    </w:p>
    <w:p>
      <w:r>
        <w:t xml:space="preserve">durchgehende Druckluftbremse angeschlossen werden können.</w:t>
      </w:r>
    </w:p>
    <w:p>
      <w:r>
        <w:t xml:space="preserve">(5) Die Ausrüstung der Wagen und Nebenfahrzeuge ohne Fahrantrieb mit</w:t>
      </w:r>
    </w:p>
    <w:p>
      <w:r>
        <w:t xml:space="preserve">Bremseinrichtungen bestimmt der Anschließer auf Grund der Bauart, des</w:t>
      </w:r>
    </w:p>
    <w:p>
      <w:r>
        <w:t xml:space="preserve">Verwendungszweckes und der Gleisanlagen, auf denen sie verkehren.</w:t>
      </w:r>
    </w:p>
    <w:p>
      <w:r>
        <w:rPr>
          <w:color w:val="555555"/>
          <w:sz w:val="17"/>
        </w:rPr>
        <w:t xml:space="preserve">Zitiervorschlag: § 47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https://recht.nulegal.eu/gesetze/BOA/47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