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BOA (Brandenburg) — Freie Räume und vorstehende Teile an den Stirnseiten der Fahrzeuge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 den Stirnseiten der Fahrzeuge muß auf jeder Seite der</w:t>
      </w:r>
    </w:p>
    <w:p>
      <w:r>
        <w:t xml:space="preserve">Zugeinrichtung (bei ausschwenkbaren Zugeinrichtungen, wenn sie voll</w:t>
      </w:r>
    </w:p>
    <w:p>
      <w:r>
        <w:t xml:space="preserve">ausgeschwenkt sind) für den Kuppler ein Raum nach Anweisung Nr. 11 zur BOA</w:t>
      </w:r>
    </w:p>
    <w:p>
      <w:r>
        <w:t xml:space="preserve">- Freie Räume - freigehalten werden. Die angegebenen Maße</w:t>
      </w:r>
    </w:p>
    <w:p>
      <w:r>
        <w:t xml:space="preserve">müssen</w:t>
      </w:r>
    </w:p>
    <w:p>
      <w:r>
        <w:t xml:space="preserve">im Zugverband unter Berücksichtigung des</w:t>
      </w:r>
    </w:p>
    <w:p>
      <w:r>
        <w:t xml:space="preserve">seitlichen Kupplungsspieles bei 6 m Gleisgerade und anschließenden</w:t>
      </w:r>
    </w:p>
    <w:p>
      <w:r>
        <w:t xml:space="preserve">Gleisbogen mit einem Halbmesser von 150 m</w:t>
      </w:r>
    </w:p>
    <w:p>
      <w:r>
        <w:t xml:space="preserve">unter Berücksichtigung des seitlichen</w:t>
      </w:r>
    </w:p>
    <w:p>
      <w:r>
        <w:t xml:space="preserve">Kupplungsspieles im Gleisbogen mit einem Halbmesser von 50 m bei 1000 mm</w:t>
      </w:r>
    </w:p>
    <w:p>
      <w:r>
        <w:t xml:space="preserve">Spurweite und 40 m bei 750 mm Spurweite</w:t>
      </w:r>
    </w:p>
    <w:p>
      <w:r>
        <w:t xml:space="preserve">eingehalten werden.</w:t>
      </w:r>
    </w:p>
    <w:p>
      <w:r>
        <w:t xml:space="preserve">(2) Außerhalb dieser Räume müssen alle festen Teile</w:t>
      </w:r>
    </w:p>
    <w:p>
      <w:r>
        <w:t xml:space="preserve">mindestens 40 mm hinter der Stoßebene der völlig eingedrückten</w:t>
      </w:r>
    </w:p>
    <w:p>
      <w:r>
        <w:t xml:space="preserve">Puffer zurückstehen. Ausgenommen hiervon sind die Signalstützen bis</w:t>
      </w:r>
    </w:p>
    <w:p>
      <w:r>
        <w:t xml:space="preserve">26 mm Bauhöhe.</w:t>
      </w:r>
    </w:p>
    <w:p>
      <w:r>
        <w:t xml:space="preserve">(3) Griffe und Tritte an den Enden der Fahrzeuge</w:t>
      </w:r>
    </w:p>
    <w:p>
      <w:r>
        <w:t xml:space="preserve">müssen von der Stoßebene der nicht eingedrückten Puffer</w:t>
      </w:r>
    </w:p>
    <w:p>
      <w:r>
        <w:t xml:space="preserve">mindestens 300 mm entfernt sein.</w:t>
      </w:r>
    </w:p>
    <w:p>
      <w:r>
        <w:rPr>
          <w:color w:val="555555"/>
          <w:sz w:val="17"/>
        </w:rPr>
        <w:t xml:space="preserve">Zitiervorschlag: § 46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