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BOA (Brandenburg) — Federn, Zug- und Stoßeinrichtungen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Fahrzeuge müssen abgefedert sein.</w:t>
      </w:r>
    </w:p>
    <w:p>
      <w:r>
        <w:t xml:space="preserve">(2) Die Fahrzeuge müssen an beiden Stirnseiten federnde Zug- und</w:t>
      </w:r>
    </w:p>
    <w:p>
      <w:r>
        <w:t xml:space="preserve">Stoßeinrichtungen haben. Fahrzeuge, die im Betrieb dauernd verbunden</w:t>
      </w:r>
    </w:p>
    <w:p>
      <w:r>
        <w:t xml:space="preserve">bleiben, gelten hinsichtlich der Ausrüstung mit Zug- und</w:t>
      </w:r>
    </w:p>
    <w:p>
      <w:r>
        <w:t xml:space="preserve">Stoßeinrichtungen als ein Fahrzeug.</w:t>
      </w:r>
    </w:p>
    <w:p>
      <w:r>
        <w:t xml:space="preserve">(3) Die Fahrzeuge müssen mit Schraubenkupplungen versehen sein. Andere</w:t>
      </w:r>
    </w:p>
    <w:p>
      <w:r>
        <w:t xml:space="preserve">Kupplungsarten sind mit Genehmigung der Staatlichen Bahnaufsicht zulässig.</w:t>
      </w:r>
    </w:p>
    <w:p>
      <w:r>
        <w:t xml:space="preserve">(4) Für die Zug- und Stoßeinrichtungen müssen die Maße</w:t>
      </w:r>
    </w:p>
    <w:p>
      <w:r>
        <w:t xml:space="preserve">nach Anweisung Nr. 10 zur BOA - Zug- und Stoßeinrichtungen - eingehalten</w:t>
      </w:r>
    </w:p>
    <w:p>
      <w:r>
        <w:t xml:space="preserve">werden.</w:t>
      </w:r>
    </w:p>
    <w:p>
      <w:r>
        <w:t xml:space="preserve">(5) Die Fahrzeuge müssen Einrichtungen haben, die es ermöglichen,</w:t>
      </w:r>
    </w:p>
    <w:p>
      <w:r>
        <w:t xml:space="preserve">nicht benutzte Schraubenkupplungen einzuhängen.</w:t>
      </w:r>
    </w:p>
    <w:p>
      <w:r>
        <w:t xml:space="preserve">(6) Neu zu bauende Regelfahrzeuge und</w:t>
      </w:r>
    </w:p>
    <w:p>
      <w:r>
        <w:t xml:space="preserve">Nebenfahrzeuge mit Fahrantrieb, die mit Regelfahrzeugen gekuppelt werden</w:t>
      </w:r>
    </w:p>
    <w:p>
      <w:r>
        <w:t xml:space="preserve">sollen, müssen in der Regel für den Einbau der automatischen</w:t>
      </w:r>
    </w:p>
    <w:p>
      <w:r>
        <w:t xml:space="preserve">Mittelpufferkupplung vorbereitet sein.</w:t>
      </w:r>
    </w:p>
    <w:p>
      <w:r>
        <w:rPr>
          <w:color w:val="555555"/>
          <w:sz w:val="17"/>
        </w:rPr>
        <w:t xml:space="preserve">Zitiervorschlag: § 45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https://recht.nulegal.eu/gesetze/BOA/45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