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BOA (Brandenburg) — Achsstand und Bogenlauf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Achsstand der Endradsätze muß bei neu zu bauenden Wagen</w:t>
      </w:r>
    </w:p>
    <w:p>
      <w:r>
        <w:t xml:space="preserve">ohne Drehgestelle</w:t>
      </w:r>
    </w:p>
    <w:p>
      <w:r>
        <w:t xml:space="preserve">≥ 4500 mm</w:t>
      </w:r>
    </w:p>
    <w:p>
      <w:r>
        <w:t xml:space="preserve">≥ 2000 mm</w:t>
      </w:r>
    </w:p>
    <w:p>
      <w:r>
        <w:t xml:space="preserve">betragen.</w:t>
      </w:r>
    </w:p>
    <w:p>
      <w:r>
        <w:t xml:space="preserve">(2) Der Achsstand benachbarter Radsätze in</w:t>
      </w:r>
    </w:p>
    <w:p>
      <w:r>
        <w:t xml:space="preserve">Drehgestellen muß ≥ 1500 mm betragen.</w:t>
      </w:r>
    </w:p>
    <w:p>
      <w:r>
        <w:t xml:space="preserve">(3) Haben Fahrzeuge, abgesehen von Drehgestellen, festen</w:t>
      </w:r>
    </w:p>
    <w:p>
      <w:r>
        <w:t xml:space="preserve">Achsstand, muß dieser ≥ 2500 mm betragen und darf 4500 mm, auch in</w:t>
      </w:r>
    </w:p>
    <w:p>
      <w:r>
        <w:t xml:space="preserve">Drehgestellen, nicht überschreiten.</w:t>
      </w:r>
    </w:p>
    <w:p>
      <w:r>
        <w:t xml:space="preserve">(4) Sind bei Fahrzeugen und Drehgestellen mehr als zwei Radsätze in</w:t>
      </w:r>
    </w:p>
    <w:p>
      <w:r>
        <w:t xml:space="preserve">einem gemeinsamen Rahmen gelagert und ist der Achsstand der Endradsätze</w:t>
      </w:r>
    </w:p>
    <w:p>
      <w:r>
        <w:t xml:space="preserve">≥ 4000 mm</w:t>
      </w:r>
    </w:p>
    <w:p>
      <w:r>
        <w:t xml:space="preserve">≥ 2000 mm,</w:t>
      </w:r>
    </w:p>
    <w:p>
      <w:r>
        <w:t xml:space="preserve">sind Maßnahmen zu treffen, die ein Durchfahren von Gleis- und</w:t>
      </w:r>
    </w:p>
    <w:p>
      <w:r>
        <w:t xml:space="preserve">Weichenbogen mit</w:t>
      </w:r>
    </w:p>
    <w:p>
      <w:r>
        <w:t xml:space="preserve">150 m Halbmesser</w:t>
      </w:r>
    </w:p>
    <w:p>
      <w:r>
        <w:t xml:space="preserve">50 m Halbmesser bei 1000 mm Spurweite und 40 m</w:t>
      </w:r>
    </w:p>
    <w:p>
      <w:r>
        <w:t xml:space="preserve">Halbmesser bei 750 mm Spurweite</w:t>
      </w:r>
    </w:p>
    <w:p>
      <w:r>
        <w:t xml:space="preserve">gewährleisten.</w:t>
      </w:r>
    </w:p>
    <w:p>
      <w:r>
        <w:t xml:space="preserve">(5) Radsätze ohne Spurkranz dürfen nicht quer verschiebbar sein.</w:t>
      </w:r>
    </w:p>
    <w:p>
      <w:r>
        <w:t xml:space="preserve">(6) Die Radsätze aller Fahrzeuge müssen so beschaffen und gelagert</w:t>
      </w:r>
    </w:p>
    <w:p>
      <w:r>
        <w:t xml:space="preserve">sein, daß Gleis- und Weichenbogen mit</w:t>
      </w:r>
    </w:p>
    <w:p>
      <w:r>
        <w:t xml:space="preserve">150 m Halbmesser</w:t>
      </w:r>
    </w:p>
    <w:p>
      <w:r>
        <w:t xml:space="preserve">50 m Halbmesser bei 1000 mm Spurweite und 40 m</w:t>
      </w:r>
    </w:p>
    <w:p>
      <w:r>
        <w:t xml:space="preserve">Halbmesser bei 750 mm Spurweite</w:t>
      </w:r>
    </w:p>
    <w:p>
      <w:r>
        <w:t xml:space="preserve">durchfahren werden können.</w:t>
      </w:r>
    </w:p>
    <w:p>
      <w:r>
        <w:t xml:space="preserve">(7) Die Unterschreitung der Achsstände nach den Absätzen 1 bis 3</w:t>
      </w:r>
    </w:p>
    <w:p>
      <w:r>
        <w:t xml:space="preserve">kann, wenn die Bauart der Weichen und Kreuzungen in der Anschlußbahn dies</w:t>
      </w:r>
    </w:p>
    <w:p>
      <w:r>
        <w:t xml:space="preserve">zuläßt, durch die Staatliche Bahnaufsicht zugelassen werden.</w:t>
      </w:r>
    </w:p>
    <w:p>
      <w:r>
        <w:rPr>
          <w:color w:val="555555"/>
          <w:sz w:val="17"/>
        </w:rPr>
        <w:t xml:space="preserve">Zitiervorschlag: § 43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