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BOA (Brandenburg) — Achsfahrmasse und Fahrzeuggesamtmasse je Längeneinheit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Achsfahrmasse stillstehender Fahrzeuge</w:t>
      </w:r>
    </w:p>
    <w:p>
      <w:r>
        <w:t xml:space="preserve">muß ≤ 21 t, die Fahrzeuggesamtmasse je Längeneinheit</w:t>
      </w:r>
    </w:p>
    <w:p>
      <w:r>
        <w:t xml:space="preserve">&amp;le; 10 t/m betragen.</w:t>
      </w:r>
    </w:p>
    <w:p>
      <w:r>
        <w:t xml:space="preserve">Die Achsfahrmasse stillstehender Fahrzeuge mit</w:t>
      </w:r>
    </w:p>
    <w:p>
      <w:r>
        <w:t xml:space="preserve">1000 mm Spurweite muß ≤ 12 t, mit 750 mm Spurweite ≤ 10 t</w:t>
      </w:r>
    </w:p>
    <w:p>
      <w:r>
        <w:t xml:space="preserve">betragen. /TD&gt;</w:t>
      </w:r>
    </w:p>
    <w:p>
      <w:r>
        <w:t xml:space="preserve">(2) Die Staatliche Bahnaufsicht kann größere Achsfahrmassen und</w:t>
      </w:r>
    </w:p>
    <w:p>
      <w:r>
        <w:t xml:space="preserve">Fahrzeuggesamtmassen je Längeneinheit zulassen.</w:t>
      </w:r>
    </w:p>
    <w:p>
      <w:r>
        <w:t xml:space="preserve">(3) Die Achsfahrmasse und Fahrzeuggesamtmasse je Längeneinheit darf die</w:t>
      </w:r>
    </w:p>
    <w:p>
      <w:r>
        <w:t xml:space="preserve">Tragfähigkeit des Oberbaues und der Bauwerke nicht überschreiten.</w:t>
      </w:r>
    </w:p>
    <w:p>
      <w:r>
        <w:rPr>
          <w:color w:val="555555"/>
          <w:sz w:val="17"/>
        </w:rPr>
        <w:t xml:space="preserve">Zitiervorschlag: § 42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https://recht.nulegal.eu/gesetze/BOA/42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