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BOA (Brandenburg) — Begrenzung der Fahrzeuge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Begrenzung der Fahrzeuge gilt die Anweisung Nr. 8 zur BOA -</w:t>
      </w:r>
    </w:p>
    <w:p>
      <w:r>
        <w:t xml:space="preserve">Begrenzungen der Fahrzeuge - in Verbindung mit den nachstehenden Festlegungen.</w:t>
      </w:r>
    </w:p>
    <w:p>
      <w:r>
        <w:t xml:space="preserve">(2) Die Fahrzeuge dürfen die Begrenzung I nicht überschreiten,</w:t>
      </w:r>
    </w:p>
    <w:p>
      <w:r>
        <w:t xml:space="preserve">sofern nicht nachstehend Ausnahmen zugelassen sind oder die Staatliche</w:t>
      </w:r>
    </w:p>
    <w:p>
      <w:r>
        <w:t xml:space="preserve">Bahnaufsicht die Anwendung der Begrenzung II bzw. der Begrenzung l-WM besonders</w:t>
      </w:r>
    </w:p>
    <w:p>
      <w:r>
        <w:t xml:space="preserve">genehmigt hat.</w:t>
      </w:r>
    </w:p>
    <w:p>
      <w:r>
        <w:t xml:space="preserve">(3) Für Fahrzeuge mit Stromzuführung aus der Fahrleitung und</w:t>
      </w:r>
    </w:p>
    <w:p>
      <w:r>
        <w:t xml:space="preserve">Triebfahrzeuge mit einer zulässigen Fahrzeuggeschwindigkeit bis 30 km/h</w:t>
      </w:r>
    </w:p>
    <w:p>
      <w:r>
        <w:t xml:space="preserve">wird die Begrenzung II zugelassen.</w:t>
      </w:r>
    </w:p>
    <w:p>
      <w:r>
        <w:t xml:space="preserve">(4) Die unabgefederten Teile der Wagen dürfen die Begrenzungen I und II</w:t>
      </w:r>
    </w:p>
    <w:p>
      <w:r>
        <w:t xml:space="preserve">nach unten 15 mm überragen.</w:t>
      </w:r>
    </w:p>
    <w:p>
      <w:r>
        <w:t xml:space="preserve">(5) Bei Triebfahrzeugen, die nach der Begrenzung I gebaut sind, dürfen</w:t>
      </w:r>
    </w:p>
    <w:p>
      <w:r>
        <w:t xml:space="preserve">abnehmbare Teile über die Begrenzung I bis zur Begrenzung II hinausragen,</w:t>
      </w:r>
    </w:p>
    <w:p>
      <w:r>
        <w:t xml:space="preserve">sie müssen sich aber auf die Begrenzung I zurückführen lassen.</w:t>
      </w:r>
    </w:p>
    <w:p>
      <w:r>
        <w:t xml:space="preserve">(6) Signalscheiben, Signallaternen und Rückspiegel dürfen die in</w:t>
      </w:r>
    </w:p>
    <w:p>
      <w:r>
        <w:t xml:space="preserve">den Begrenzungen I und II, Signallaternenstützen die in der Begrenzung</w:t>
      </w:r>
    </w:p>
    <w:p>
      <w:r>
        <w:t xml:space="preserve">l-WM hierfür besonders angegebene Begrenzung erreichen.</w:t>
      </w:r>
    </w:p>
    <w:p>
      <w:r>
        <w:t xml:space="preserve">(7) Fahrzeugteile, aus denen Dampf ausströmt, dürfen die in der</w:t>
      </w:r>
    </w:p>
    <w:p>
      <w:r>
        <w:t xml:space="preserve">Begrenzung II durch eine punktierte Linie dargestellte Begrenzung nicht</w:t>
      </w:r>
    </w:p>
    <w:p>
      <w:r>
        <w:t xml:space="preserve">überschreiten.</w:t>
      </w:r>
    </w:p>
    <w:p>
      <w:r>
        <w:t xml:space="preserve">(8) Die Stromabnehmer von Fahrzeugen dürfen die Begrenzungen I, II und</w:t>
      </w:r>
    </w:p>
    <w:p>
      <w:r>
        <w:t xml:space="preserve">1-WM überschreiten, sie müssen sich aber auf diejenige Begrenzung</w:t>
      </w:r>
    </w:p>
    <w:p>
      <w:r>
        <w:t xml:space="preserve">zurückführen lassen, nach der das Fahrzeug gebaut ist.</w:t>
      </w:r>
    </w:p>
    <w:p>
      <w:r>
        <w:t xml:space="preserve">(9) Stromabnehmer dürfen in der höchsten und in der tiefsten</w:t>
      </w:r>
    </w:p>
    <w:p>
      <w:r>
        <w:t xml:space="preserve">Arbeitsstellung die in der Begrenzung für Stromabnehmer durch gestrichelte</w:t>
      </w:r>
    </w:p>
    <w:p>
      <w:r>
        <w:t xml:space="preserve">Linie dargestellte obere bzw. untere Begrenzung nicht über- bzw.</w:t>
      </w:r>
    </w:p>
    <w:p>
      <w:r>
        <w:t xml:space="preserve">unterschreiten.</w:t>
      </w:r>
    </w:p>
    <w:p>
      <w:r>
        <w:t xml:space="preserve">(10) Gesenkte Stromabnehmer dürfen die in der Begrenzung für</w:t>
      </w:r>
    </w:p>
    <w:p>
      <w:r>
        <w:t xml:space="preserve">Stromabnehmer durch ausgezogene Linien dargestellte Begrenzung nicht</w:t>
      </w:r>
    </w:p>
    <w:p>
      <w:r>
        <w:t xml:space="preserve">überschreiten. Die übrige Dachausrüstung der Elektrofahrzeuge</w:t>
      </w:r>
    </w:p>
    <w:p>
      <w:r>
        <w:t xml:space="preserve">muß innerhalb der Begrenzung liegen, nach der das Fahrzeug gebaut wurde.</w:t>
      </w:r>
    </w:p>
    <w:p>
      <w:r>
        <w:t xml:space="preserve">(11) Die nach den Absätzen 2 und 6 zulässigen Breitenmaße</w:t>
      </w:r>
    </w:p>
    <w:p>
      <w:r>
        <w:t xml:space="preserve">müssen soweit eingeschränkt werden, wie es für das Befahren von</w:t>
      </w:r>
    </w:p>
    <w:p>
      <w:r>
        <w:t xml:space="preserve">Gleis- und Weichenbogen erforderlich ist.</w:t>
      </w:r>
    </w:p>
    <w:p>
      <w:r>
        <w:t xml:space="preserve">(12) Bremsklötze, Sandstreurohre, Bahnräumer und die</w:t>
      </w:r>
    </w:p>
    <w:p>
      <w:r>
        <w:t xml:space="preserve">unabgefederten Teile der Triebfahrzeuge dürfen bis auf 65 mm über</w:t>
      </w:r>
    </w:p>
    <w:p>
      <w:r>
        <w:t xml:space="preserve">Schienenoberkante herabreichen. Bei Triebfahrzeugen und Wagen dürfen diese</w:t>
      </w:r>
    </w:p>
    <w:p>
      <w:r>
        <w:t xml:space="preserve">Teile bis auf höchstens 55 mm über Schienenoberkante herabreichen,</w:t>
      </w:r>
    </w:p>
    <w:p>
      <w:r>
        <w:t xml:space="preserve">wenn sie auch im Gleisbogen innerhalb des durch die Radreifen bestrichenen</w:t>
      </w:r>
    </w:p>
    <w:p>
      <w:r>
        <w:t xml:space="preserve">Raumes und bei Wagen außerdem zwischen den Endradsätzen bleiben. Die</w:t>
      </w:r>
    </w:p>
    <w:p>
      <w:r>
        <w:t xml:space="preserve">Höhe der Bahnräumer darf bei Triebfahrzeugen höchstens 100 mm</w:t>
      </w:r>
    </w:p>
    <w:p>
      <w:r>
        <w:t xml:space="preserve">über Schienenoberkante betragen.</w:t>
      </w:r>
    </w:p>
    <w:p>
      <w:r>
        <w:t xml:space="preserve">(13) Bei Wagen dürfen die Teile, die sich innerhalb des von den</w:t>
      </w:r>
    </w:p>
    <w:p>
      <w:r>
        <w:t xml:space="preserve">Radreifen bestrichenen Raumes und außerhalb der Endradsätze liegen,</w:t>
      </w:r>
    </w:p>
    <w:p>
      <w:r>
        <w:t xml:space="preserve">bis auf höchstens 150 mm über Schienenoberkante herabreichen.</w:t>
      </w:r>
    </w:p>
    <w:p>
      <w:r>
        <w:t xml:space="preserve">(14) Entkuppelte Schraubenkupplungen und Leitungskupplungen müssen auf</w:t>
      </w:r>
    </w:p>
    <w:p>
      <w:r>
        <w:t xml:space="preserve">mindestens 140 mm über Schienenoberkante einschraub- bzw. festlegbar sein,</w:t>
      </w:r>
    </w:p>
    <w:p>
      <w:r>
        <w:t xml:space="preserve">wenn sie tiefer herabreichen können.</w:t>
      </w:r>
    </w:p>
    <w:p>
      <w:r>
        <w:t xml:space="preserve">(15) Alle bruchgefährdeten Teile der Fahrzeuge, bei deren Herabfallen</w:t>
      </w:r>
    </w:p>
    <w:p>
      <w:r>
        <w:t xml:space="preserve">Betriebsgefahr entstehen kann, müssen durch Fangeinrichtungen gesichert</w:t>
      </w:r>
    </w:p>
    <w:p>
      <w:r>
        <w:t xml:space="preserve">sein.</w:t>
      </w:r>
    </w:p>
    <w:p>
      <w:r>
        <w:rPr>
          <w:color w:val="555555"/>
          <w:sz w:val="17"/>
        </w:rPr>
        <w:t xml:space="preserve">Zitiervorschlag: § 41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