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BOA (Brandenburg) — Einteilung und Beschaffenheit der Fahrzeuge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Fahrzeuge im Sinne dieser Anordnung sind Schienenfahrzeuge und solche</w:t>
      </w:r>
    </w:p>
    <w:p>
      <w:r>
        <w:t xml:space="preserve">Fahrzeuge, die mittels Hilfseinrichtungen auf Gleisen fahren können</w:t>
      </w:r>
    </w:p>
    <w:p>
      <w:r>
        <w:t xml:space="preserve">(Mehrzweckfahrzeuge).</w:t>
      </w:r>
    </w:p>
    <w:p>
      <w:r>
        <w:t xml:space="preserve">(2) Beim Bau der Fahrzeuge und bei ihrer Verwendung im Betriebsdienst wird</w:t>
      </w:r>
    </w:p>
    <w:p>
      <w:r>
        <w:t xml:space="preserve">im Sinne dieser Anordnung zwischen Regelfahrzeugen und Nebenfahrzeugen</w:t>
      </w:r>
    </w:p>
    <w:p>
      <w:r>
        <w:t xml:space="preserve">unterschieden.</w:t>
      </w:r>
    </w:p>
    <w:p>
      <w:r>
        <w:t xml:space="preserve">(3) Triebfahrzeuge und Wagen sind Regelfahrzeuge. Alle übrigen</w:t>
      </w:r>
    </w:p>
    <w:p>
      <w:r>
        <w:t xml:space="preserve">Fahrzeuge sind Nebenfahrzeuge.</w:t>
      </w:r>
    </w:p>
    <w:p>
      <w:r>
        <w:t xml:space="preserve">(4) Triebfahrzeuge werden eingeteilt in</w:t>
      </w:r>
    </w:p>
    <w:p>
      <w:r>
        <w:t xml:space="preserve">Dieseltriebfahrzeuge,</w:t>
      </w:r>
    </w:p>
    <w:p>
      <w:r>
        <w:t xml:space="preserve">Elektrotriebfahrzeuge,</w:t>
      </w:r>
    </w:p>
    <w:p>
      <w:r>
        <w:t xml:space="preserve">Dampfspeicherlokomotiven,</w:t>
      </w:r>
    </w:p>
    <w:p>
      <w:r>
        <w:t xml:space="preserve">Dampflokomotiven.</w:t>
      </w:r>
    </w:p>
    <w:p>
      <w:r>
        <w:t xml:space="preserve">(5) Wagen werden eingeteilt in</w:t>
      </w:r>
    </w:p>
    <w:p>
      <w:r>
        <w:t xml:space="preserve">Wagen, die in Züge eingestellt oder im Rangierbetrieb mit einer</w:t>
      </w:r>
    </w:p>
    <w:p>
      <w:r>
        <w:t xml:space="preserve">Geschwindigkeit über 20 km/h</w:t>
      </w:r>
    </w:p>
    <w:p>
      <w:r>
        <w:t xml:space="preserve">Wagen, die nur im Rangierbetrieb mit einer Höchstgeschwindigkeit von</w:t>
      </w:r>
    </w:p>
    <w:p>
      <w:r>
        <w:t xml:space="preserve">20 km/h eingesetzt werden.</w:t>
      </w:r>
    </w:p>
    <w:p>
      <w:r>
        <w:t xml:space="preserve">(6) Nebenfahrzeuge werden eingeteilt in</w:t>
      </w:r>
    </w:p>
    <w:p>
      <w:r>
        <w:t xml:space="preserve">Nebenfahrzeuge mit Fahrantrieb,</w:t>
      </w:r>
    </w:p>
    <w:p>
      <w:r>
        <w:t xml:space="preserve">Nebenfahrzeuge ohne Fahrantrieb.</w:t>
      </w:r>
    </w:p>
    <w:p>
      <w:r>
        <w:t xml:space="preserve">(7) Alle Fahrzeuge müssen so gebaut und instandgehalten werden,</w:t>
      </w:r>
    </w:p>
    <w:p>
      <w:r>
        <w:t xml:space="preserve">daß sie mit der größten für sie zugelassenen</w:t>
      </w:r>
    </w:p>
    <w:p>
      <w:r>
        <w:t xml:space="preserve">Geschwindigkeit betriebssicher bewegt werden können.</w:t>
      </w:r>
    </w:p>
    <w:p>
      <w:r>
        <w:t xml:space="preserve">(8) Regelfahrzeuge müssen den Bestimmungen dieses Abschnittes</w:t>
      </w:r>
    </w:p>
    <w:p>
      <w:r>
        <w:t xml:space="preserve">entsprechen. Nebenfahrzeuge brauchen diesen Bestimmungen nur soweit zu</w:t>
      </w:r>
    </w:p>
    <w:p>
      <w:r>
        <w:t xml:space="preserve">entsprechen, wie es für den Zweck, dem sie dienen sollen, und für die</w:t>
      </w:r>
    </w:p>
    <w:p>
      <w:r>
        <w:t xml:space="preserve">betriebsdienstliche Behandlung erforderlich ist.</w:t>
      </w:r>
    </w:p>
    <w:p>
      <w:r>
        <w:t xml:space="preserve">(9) Fahrzeuge mit Fahrantrieb sind in der Regel direkt zu bedienen. Für</w:t>
      </w:r>
    </w:p>
    <w:p>
      <w:r>
        <w:t xml:space="preserve">die indirekte Bedienung von Fahrzeugen mit Fahrantrieb gelten spezielle</w:t>
      </w:r>
    </w:p>
    <w:p>
      <w:r>
        <w:t xml:space="preserve">Bestimmungen, die von der Staatlichen Bahnaufsicht gesondert herausgegeben</w:t>
      </w:r>
    </w:p>
    <w:p>
      <w:r>
        <w:t xml:space="preserve">werden.</w:t>
      </w:r>
    </w:p>
    <w:p>
      <w:r>
        <w:t xml:space="preserve">(10) Fahrzeuge mit Fahrantrieb, die wahlweise direkt bzw. indirekt bedient</w:t>
      </w:r>
    </w:p>
    <w:p>
      <w:r>
        <w:t xml:space="preserve">werden können, sind gemäß Abs. 2 einzuordnen. Fahrzeuge mit</w:t>
      </w:r>
    </w:p>
    <w:p>
      <w:r>
        <w:t xml:space="preserve">Fahrantrieb, die nur indirekt bedient werden können, gelten als</w:t>
      </w:r>
    </w:p>
    <w:p>
      <w:r>
        <w:t xml:space="preserve">Nebenfahrzeuge mit Fahrantrieb.</w:t>
      </w:r>
    </w:p>
    <w:p>
      <w:r>
        <w:t xml:space="preserve">(11) Fahrzeuge, die auf Gleise der Deutschen Reichsbahn übergehen</w:t>
      </w:r>
    </w:p>
    <w:p>
      <w:r>
        <w:t xml:space="preserve">sollen, müssen den hierfür geltenden Bestimmungen der Deutschen</w:t>
      </w:r>
    </w:p>
    <w:p>
      <w:r>
        <w:t xml:space="preserve">Reichsbahn entsprechen. Die Genehmigung erteilt die zuständige</w:t>
      </w:r>
    </w:p>
    <w:p>
      <w:r>
        <w:t xml:space="preserve">Reichsbahndirektion.</w:t>
      </w:r>
    </w:p>
    <w:p>
      <w:r>
        <w:t xml:space="preserve">(12) Wenn Fahrzeuge der Werkbahnen bzw. von abgegrenzten</w:t>
      </w:r>
    </w:p>
    <w:p>
      <w:r>
        <w:t xml:space="preserve">Produktionsbereichen auch auf Anschlußbahnen übergehen sollen,</w:t>
      </w:r>
    </w:p>
    <w:p>
      <w:r>
        <w:t xml:space="preserve">müssen sie dieser Anordnung entsprechen. Der Betreiber hat hierfür</w:t>
      </w:r>
    </w:p>
    <w:p>
      <w:r>
        <w:t xml:space="preserve">den Nachweis zu erbringen. Der Anschließer hat die entsprechenden</w:t>
      </w:r>
    </w:p>
    <w:p>
      <w:r>
        <w:t xml:space="preserve">Fahrzeuge in einer Aufstellung zu erfassen und die Einhaltung zu kontrollieren.</w:t>
      </w:r>
    </w:p>
    <w:p>
      <w:r>
        <w:t xml:space="preserve">Die Fahrzeuge müssen auf beiden Seiten die Anschrift tragen "Auf</w:t>
      </w:r>
    </w:p>
    <w:p>
      <w:r>
        <w:t xml:space="preserve">Anschlußbahnen zugelassen".</w:t>
      </w:r>
    </w:p>
    <w:p>
      <w:r>
        <w:rPr>
          <w:color w:val="555555"/>
          <w:sz w:val="17"/>
        </w:rPr>
        <w:t xml:space="preserve">Zitiervorschlag: § 40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