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BOA (Brandenburg) — Personenbeförderung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Zur Einrichtung von Personenbeförderungen auf Anschlußbahnen ist</w:t>
      </w:r>
    </w:p>
    <w:p>
      <w:r>
        <w:t xml:space="preserve">die Genehmigung des Leiters der Staatlichen Bahnaufsicht des Ministeriums</w:t>
      </w:r>
    </w:p>
    <w:p>
      <w:r>
        <w:t xml:space="preserve">für Verkehrswesen erforderlich.</w:t>
      </w:r>
    </w:p>
    <w:p>
      <w:r>
        <w:rPr>
          <w:color w:val="555555"/>
          <w:sz w:val="17"/>
        </w:rPr>
        <w:t xml:space="preserve">Zitiervorschlag: § 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