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BOA (Brandenburg) — Beleuchtungsanlagen und sonstige elektrotechnische Anlagen,Schutzmaßnahmen in elektrotechnischen 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Projektierung und das Betreiben der Beleuchtungsanlagen</w:t>
      </w:r>
    </w:p>
    <w:p>
      <w:r>
        <w:t xml:space="preserve">sind der staatliche Standard Beleuchtung mit künstlichem Licht (TGL</w:t>
      </w:r>
    </w:p>
    <w:p>
      <w:r>
        <w:t xml:space="preserve">200-0617/01 bis /06, /09, /10 und /12) und die zur Dienstvorschrift für</w:t>
      </w:r>
    </w:p>
    <w:p>
      <w:r>
        <w:t xml:space="preserve">den Starkstromdienst (DV Starkstrom) (Dienstvorschrift 954 der Deutschen</w:t>
      </w:r>
    </w:p>
    <w:p>
      <w:r>
        <w:t xml:space="preserve">Reichsbahn) herausgegebenen Richtlinien zugrunde zu legen.</w:t>
      </w:r>
    </w:p>
    <w:p>
      <w:r>
        <w:t xml:space="preserve">(2) Neue oder zu rekonstruierende Beleuchtungsanlagen müssen in</w:t>
      </w:r>
    </w:p>
    <w:p>
      <w:r>
        <w:t xml:space="preserve">zweckmäßige Schaltgruppen aufgeteilt werden.</w:t>
      </w:r>
    </w:p>
    <w:p>
      <w:r>
        <w:t xml:space="preserve">(3) Durch organisatorische und technische Maßnahmen ist eine</w:t>
      </w:r>
    </w:p>
    <w:p>
      <w:r>
        <w:t xml:space="preserve">rationelle Energieanwendung beim Betreiben der Beleuchtungsanlagen</w:t>
      </w:r>
    </w:p>
    <w:p>
      <w:r>
        <w:t xml:space="preserve">sicherzustellen. Die Verantwortlichkeit für die Ein- und Ausschaltung der</w:t>
      </w:r>
    </w:p>
    <w:p>
      <w:r>
        <w:t xml:space="preserve">einzelnen Schaltgruppen entsprechend der betriebstechnologischen Notwendigkeit</w:t>
      </w:r>
    </w:p>
    <w:p>
      <w:r>
        <w:t xml:space="preserve">ist in der Dienstordnung festzulegen. Zusätzlich ist durch den Einsatz von</w:t>
      </w:r>
    </w:p>
    <w:p>
      <w:r>
        <w:t xml:space="preserve">Dämmerungsschaltern in der Steuerung die maximal mögliche</w:t>
      </w:r>
    </w:p>
    <w:p>
      <w:r>
        <w:t xml:space="preserve">Beleuchtungsdauer zu begrenzen.</w:t>
      </w:r>
    </w:p>
    <w:p>
      <w:r>
        <w:t xml:space="preserve">(4) Sonstige elektrotechnische Anlagen (z.B. Bremsprobesignalanlagen,</w:t>
      </w:r>
    </w:p>
    <w:p>
      <w:r>
        <w:t xml:space="preserve">Elektrantenanlagen) sind nach den Rechtsvorschriften und unter Beachtung der</w:t>
      </w:r>
    </w:p>
    <w:p>
      <w:r>
        <w:t xml:space="preserve">zur DV Starkstrom herausgegebenen Richtlinien zu projektieren, zu errichten und</w:t>
      </w:r>
    </w:p>
    <w:p>
      <w:r>
        <w:t xml:space="preserve">instandzuhalten.</w:t>
      </w:r>
    </w:p>
    <w:p>
      <w:r>
        <w:t xml:space="preserve">(5) In Ergänzung der staatlichen Standards sind für die</w:t>
      </w:r>
    </w:p>
    <w:p>
      <w:r>
        <w:t xml:space="preserve">Projektierung, die Errichtung und die Instandhaltung von Schutzmaßnahmen</w:t>
      </w:r>
    </w:p>
    <w:p>
      <w:r>
        <w:t xml:space="preserve">in elektrotechnischen Anlagen die zur DV Starkstrom herausgegebenen Richtlinien</w:t>
      </w:r>
    </w:p>
    <w:p>
      <w:r>
        <w:t xml:space="preserve">Schutzmaßnahmen im Bereich von Wechselstrombahnen (R 1904)</w:t>
      </w:r>
    </w:p>
    <w:p>
      <w:r>
        <w:t xml:space="preserve">Schutzmaßnahmen im Bereich von Gleichstrombahnen (R 1905)</w:t>
      </w:r>
    </w:p>
    <w:p>
      <w:r>
        <w:t xml:space="preserve">Schutzmaßnahmen im Bereich von nichtelektrifizierten Bahnen (R 1909)</w:t>
      </w:r>
    </w:p>
    <w:p>
      <w:r>
        <w:t xml:space="preserve">verbindlich.</w:t>
      </w:r>
    </w:p>
    <w:p>
      <w:r>
        <w:rPr>
          <w:color w:val="555555"/>
          <w:sz w:val="17"/>
        </w:rPr>
        <w:t xml:space="preserve">Zitiervorschlag: § 38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