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BOA (Brandenburg) — Fahrleitungsanlagen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Fahrleitungsanlagen sind insbesondere die staatlichen Standards</w:t>
      </w:r>
    </w:p>
    <w:p>
      <w:r>
        <w:t xml:space="preserve">"Elektrotechnische Anlagen für Bahnen(TGL 200-0632/01 und /03) und</w:t>
      </w:r>
    </w:p>
    <w:p>
      <w:r>
        <w:t xml:space="preserve">"Elektrische Bahnen, Fahrleitungsanlagen für Straßen- und</w:t>
      </w:r>
    </w:p>
    <w:p>
      <w:r>
        <w:t xml:space="preserve">Industriebahnen" (TGL 38428/01 bis /04) anzuwenden.</w:t>
      </w:r>
    </w:p>
    <w:p>
      <w:r>
        <w:t xml:space="preserve">(2) Für den Betrieb und die Instandhaltung sowie für das Verhalten</w:t>
      </w:r>
    </w:p>
    <w:p>
      <w:r>
        <w:t xml:space="preserve">im Bereich von Fahrleitungsanlagen sind</w:t>
      </w:r>
    </w:p>
    <w:p>
      <w:r>
        <w:t xml:space="preserve">bei Einphasenwechselstrom die Dienstvorschrift für den Dienst auf</w:t>
      </w:r>
    </w:p>
    <w:p>
      <w:r>
        <w:t xml:space="preserve">Strecken mit elektrischer Zugförderung (Einphasenwechselstrom) - DV EB -</w:t>
      </w:r>
    </w:p>
    <w:p>
      <w:r>
        <w:t xml:space="preserve">(Dienstvorschrift 462 der Deutschen Reichsbahn),</w:t>
      </w:r>
    </w:p>
    <w:p>
      <w:r>
        <w:t xml:space="preserve">bei anderen Stromsystemen die speziellen Vorschriften, insbesondere die</w:t>
      </w:r>
    </w:p>
    <w:p>
      <w:r>
        <w:t xml:space="preserve">Arbeitsschutzanordnung 352/1 vom 6. Januar 1965 - Bahnen, die nicht von der</w:t>
      </w:r>
    </w:p>
    <w:p>
      <w:r>
        <w:t xml:space="preserve">Deutschen Reichsbahn verwaltet werden - (GBl. II Nr. 15 S. 108)</w:t>
      </w:r>
    </w:p>
    <w:p>
      <w:r>
        <w:t xml:space="preserve">anzuwenden.</w:t>
      </w:r>
    </w:p>
    <w:p>
      <w:r>
        <w:rPr>
          <w:color w:val="555555"/>
          <w:sz w:val="17"/>
        </w:rPr>
        <w:t xml:space="preserve">Zitiervorschlag: § 37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