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BOA (Brandenburg) — Elektrotechnische Ausrüstungen an maschinentechnischen Anlagen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Elektrotechnische Ausrüstungen an maschinentechnischen Anlagen</w:t>
      </w:r>
    </w:p>
    <w:p>
      <w:r>
        <w:t xml:space="preserve">müssen einen Hauptschalter haben, mit dem die Anlage allpolig</w:t>
      </w:r>
    </w:p>
    <w:p>
      <w:r>
        <w:t xml:space="preserve">spannungsfrei geschaltet werden kann. Der Hauptschalter ist eindeutig zu</w:t>
      </w:r>
    </w:p>
    <w:p>
      <w:r>
        <w:t xml:space="preserve">kennzeichnen und muß in der Stellung "Aus" gegen</w:t>
      </w:r>
    </w:p>
    <w:p>
      <w:r>
        <w:t xml:space="preserve">mißbräuchliches Einschalten gesichert werden können.</w:t>
      </w:r>
    </w:p>
    <w:p>
      <w:r>
        <w:t xml:space="preserve">(2) Dient der Hauptschalter gleichzeitig als Gefahrenschalter, ist dieser</w:t>
      </w:r>
    </w:p>
    <w:p>
      <w:r>
        <w:t xml:space="preserve">gemäß dem staatlichen Standard Gesundheits- und Arbeitsschutz,</w:t>
      </w:r>
    </w:p>
    <w:p>
      <w:r>
        <w:t xml:space="preserve">Brandschutz; Sicherheitsfarben und Sicherheitszeichen; Allgemeine Festlegungen</w:t>
      </w:r>
    </w:p>
    <w:p>
      <w:r>
        <w:t xml:space="preserve">(TGL 30817) rot zu kennzeichnen und muß jederzeit zugängig sein.</w:t>
      </w:r>
    </w:p>
    <w:p>
      <w:r>
        <w:t xml:space="preserve">(3) Der Hauptschalter kann gleichzeitig Schutzschalter sein, wenn dadurch</w:t>
      </w:r>
    </w:p>
    <w:p>
      <w:r>
        <w:t xml:space="preserve">die ordnungsgemäße Stillsetzung der Anlage nicht beeinträchtigt</w:t>
      </w:r>
    </w:p>
    <w:p>
      <w:r>
        <w:t xml:space="preserve">wird.</w:t>
      </w:r>
    </w:p>
    <w:p>
      <w:r>
        <w:t xml:space="preserve">(4) Die Schaltungen der elektotechnischen Ausrüstungen von neuen oder</w:t>
      </w:r>
    </w:p>
    <w:p>
      <w:r>
        <w:t xml:space="preserve">zu rekonstruierenden maschinentechnischen Anlagen müssen auf dem Prinzip</w:t>
      </w:r>
    </w:p>
    <w:p>
      <w:r>
        <w:t xml:space="preserve">des Nullstellungszwanges beruhen.</w:t>
      </w:r>
    </w:p>
    <w:p>
      <w:r>
        <w:rPr>
          <w:color w:val="555555"/>
          <w:sz w:val="17"/>
        </w:rPr>
        <w:t xml:space="preserve">Zitiervorschlag: § 36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