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BOA (Brandenburg) — Sonstige maschinentechnische Anlagen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Wasserkrane und Dampffüllstellen mit schwenkbarem Ausleger</w:t>
      </w:r>
    </w:p>
    <w:p>
      <w:r>
        <w:t xml:space="preserve">müssen mit Signal Sh 2 gemäß Signalbuch versehen sein, das die</w:t>
      </w:r>
    </w:p>
    <w:p>
      <w:r>
        <w:t xml:space="preserve">Querstellung bei Dunkelheit anzeigt, sofern die Lage des Auslegers in</w:t>
      </w:r>
    </w:p>
    <w:p>
      <w:r>
        <w:t xml:space="preserve">Querstellung durch die allgemeine Beleuchtung nicht klar erkennbar ist.</w:t>
      </w:r>
    </w:p>
    <w:p>
      <w:r>
        <w:t xml:space="preserve">(2) Die an die Dampffüllstelle angeschlossene Dampfspeicherlokomotive</w:t>
      </w:r>
    </w:p>
    <w:p>
      <w:r>
        <w:t xml:space="preserve">muß gegen Auffahren durch andere Fahrzeuge gesichert sein. Die</w:t>
      </w:r>
    </w:p>
    <w:p>
      <w:r>
        <w:t xml:space="preserve">erforderlichen Maßnahmen sind in die Dienstordnung aufzunehmen.</w:t>
      </w:r>
    </w:p>
    <w:p>
      <w:r>
        <w:t xml:space="preserve">(3) Für den Bau und das Betreiben von sonstigen maschinentechnischen</w:t>
      </w:r>
    </w:p>
    <w:p>
      <w:r>
        <w:t xml:space="preserve">Anlagen sind die Bau- und Montagevorschriften sowie Betriebsanweisungen der</w:t>
      </w:r>
    </w:p>
    <w:p>
      <w:r>
        <w:t xml:space="preserve">Hersteller zu beachten.</w:t>
      </w:r>
    </w:p>
    <w:p>
      <w:r>
        <w:t xml:space="preserve">(4) Für den Bau und das Betreiben von Anlagen und Einrichtungen zum</w:t>
      </w:r>
    </w:p>
    <w:p>
      <w:r>
        <w:t xml:space="preserve">Auftauen bzw. Lockern von Ladegütern gelten die Bestimmungen der Deutschen</w:t>
      </w:r>
    </w:p>
    <w:p>
      <w:r>
        <w:t xml:space="preserve">Reichsbahn für die Be- und Entladung von Güterwagen und die Bau- und</w:t>
      </w:r>
    </w:p>
    <w:p>
      <w:r>
        <w:t xml:space="preserve">Betriebsvorschriften für das Auftauen und Erwärmen von Ladegut in</w:t>
      </w:r>
    </w:p>
    <w:p>
      <w:r>
        <w:t xml:space="preserve">Güterwagen (Auftauvorschriften) der Deutschen Reichsbahn.</w:t>
      </w:r>
    </w:p>
    <w:p>
      <w:r>
        <w:rPr>
          <w:color w:val="555555"/>
          <w:sz w:val="17"/>
        </w:rPr>
        <w:t xml:space="preserve">Zitiervorschlag: § 34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https://recht.nulegal.eu/gesetze/BOA/34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